
<file path=[Content_Types].xml><?xml version="1.0" encoding="utf-8"?>
<Types xmlns="http://schemas.openxmlformats.org/package/2006/content-types">
  <Default Extension="xml" ContentType="application/xml"/>
  <Default Extension="xlsx" ContentType="application/vnd.openxmlformats-officedocument.spreadsheetml.sheet"/>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pPr>
        <w:widowControl/>
        <w:spacing w:line="1200" w:lineRule="exact"/>
        <w:jc w:val="center"/>
        <w:rPr>
          <w:rFonts w:hAnsi="宋体" w:asciiTheme="minorEastAsia" w:eastAsiaTheme="minorEastAsia"/>
          <w:color w:val="000000" w:themeColor="text1"/>
          <w:sz w:val="96"/>
          <w:szCs w:val="96"/>
          <w14:textFill>
            <w14:solidFill>
              <w14:schemeClr w14:val="tx1"/>
            </w14:solidFill>
          </w14:textFill>
        </w:rPr>
      </w:pPr>
    </w:p>
    <w:p>
      <w:pPr>
        <w:widowControl/>
        <w:spacing w:line="1200" w:lineRule="exact"/>
        <w:jc w:val="center"/>
        <w:rPr>
          <w:rFonts w:hAnsi="宋体" w:asciiTheme="minorEastAsia" w:eastAsiaTheme="minorEastAsia"/>
          <w:color w:val="000000" w:themeColor="text1"/>
          <w:sz w:val="96"/>
          <w:szCs w:val="96"/>
          <w14:textFill>
            <w14:solidFill>
              <w14:schemeClr w14:val="tx1"/>
            </w14:solidFill>
          </w14:textFill>
        </w:rPr>
      </w:pPr>
    </w:p>
    <w:p>
      <w:pPr>
        <w:widowControl/>
        <w:spacing w:line="1200" w:lineRule="exact"/>
        <w:jc w:val="center"/>
        <w:rPr>
          <w:color w:val="000000" w:themeColor="text1"/>
          <w:sz w:val="96"/>
          <w:szCs w:val="96"/>
          <w14:textFill>
            <w14:solidFill>
              <w14:schemeClr w14:val="tx1"/>
            </w14:solidFill>
          </w14:textFill>
        </w:rPr>
      </w:pPr>
      <w:r>
        <w:rPr>
          <w:sz w:val="84"/>
          <w:szCs w:val="84"/>
        </w:rPr>
        <w:t>201</w:t>
      </w:r>
      <w:r>
        <w:rPr>
          <w:rFonts w:hint="eastAsia"/>
          <w:sz w:val="84"/>
          <w:szCs w:val="84"/>
        </w:rPr>
        <w:t>8</w:t>
      </w:r>
      <w:r>
        <w:rPr>
          <w:sz w:val="84"/>
          <w:szCs w:val="84"/>
        </w:rPr>
        <w:t>年度部门决算公开</w:t>
      </w:r>
    </w:p>
    <w:p>
      <w:pPr>
        <w:widowControl/>
        <w:jc w:val="center"/>
        <w:rPr>
          <w:rFonts w:hAnsi="宋体" w:asciiTheme="minorEastAsia" w:eastAsiaTheme="minorEastAsia"/>
          <w:color w:val="002060"/>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ind w:firstLine="1767" w:firstLineChars="400"/>
        <w:rPr>
          <w:rFonts w:hint="default" w:ascii="楷体" w:hAnsi="楷体" w:eastAsia="宋体" w:cs="楷体"/>
          <w:b/>
          <w:sz w:val="44"/>
          <w:szCs w:val="44"/>
          <w:lang w:val="en-US" w:eastAsia="zh-CN"/>
        </w:rPr>
        <w:sectPr>
          <w:pgSz w:w="11906" w:h="16838"/>
          <w:pgMar w:top="2098" w:right="1474" w:bottom="1985" w:left="1588" w:header="851" w:footer="992" w:gutter="0"/>
          <w:cols w:space="425" w:num="1"/>
          <w:docGrid w:type="lines" w:linePitch="312" w:charSpace="0"/>
        </w:sectPr>
      </w:pPr>
      <w:r>
        <w:rPr>
          <w:b/>
          <w:sz w:val="44"/>
          <w:szCs w:val="44"/>
        </w:rPr>
        <w:t>廊坊市</w:t>
      </w:r>
      <w:r>
        <w:rPr>
          <w:rFonts w:hint="eastAsia"/>
          <w:b/>
          <w:sz w:val="44"/>
          <w:szCs w:val="44"/>
          <w:lang w:val="en-US" w:eastAsia="zh-CN"/>
        </w:rPr>
        <w:t>大厂回族自治县审计局</w:t>
      </w:r>
    </w:p>
    <w:p>
      <w:pPr>
        <w:widowControl/>
        <w:spacing w:after="0" w:line="600" w:lineRule="exact"/>
        <w:jc w:val="left"/>
        <w:rPr>
          <w:rFonts w:ascii="楷体" w:hAnsi="楷体" w:eastAsia="楷体" w:cs="楷体"/>
          <w:sz w:val="32"/>
          <w:szCs w:val="32"/>
          <w:highlight w:val="yellow"/>
        </w:rPr>
      </w:pPr>
    </w:p>
    <w:p>
      <w:pPr>
        <w:spacing w:beforeLines="200" w:after="0" w:line="1000" w:lineRule="exact"/>
        <w:jc w:val="center"/>
        <w:rPr>
          <w:rFonts w:ascii="黑体" w:eastAsia="黑体"/>
          <w:sz w:val="48"/>
          <w:szCs w:val="48"/>
        </w:rPr>
      </w:pPr>
      <w:r>
        <w:rPr>
          <w:rFonts w:hint="eastAsia" w:ascii="黑体" w:eastAsia="黑体"/>
          <w:sz w:val="48"/>
          <w:szCs w:val="48"/>
        </w:rPr>
        <w:t>目    录</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仿宋_GB2312"/>
          <w:sz w:val="24"/>
          <w:szCs w:val="32"/>
        </w:rPr>
      </w:pPr>
      <w:r>
        <w:rPr>
          <w:rFonts w:eastAsia="黑体"/>
          <w:sz w:val="32"/>
          <w:szCs w:val="32"/>
        </w:rPr>
        <w:t>第一部分</w:t>
      </w:r>
      <w:r>
        <w:rPr>
          <w:rFonts w:hint="eastAsia" w:eastAsia="黑体"/>
          <w:sz w:val="32"/>
          <w:szCs w:val="32"/>
          <w:lang w:val="en-US" w:eastAsia="zh-CN"/>
        </w:rPr>
        <w:t xml:space="preserve">  </w:t>
      </w:r>
      <w:r>
        <w:rPr>
          <w:rFonts w:eastAsia="黑体"/>
          <w:sz w:val="32"/>
          <w:szCs w:val="32"/>
        </w:rPr>
        <w:t>部门概况</w:t>
      </w:r>
    </w:p>
    <w:p>
      <w:pPr>
        <w:widowControl/>
        <w:spacing w:line="580" w:lineRule="exact"/>
        <w:ind w:firstLine="1273" w:firstLineChars="398"/>
        <w:rPr>
          <w:rFonts w:eastAsia="仿宋_GB2312"/>
          <w:sz w:val="32"/>
          <w:szCs w:val="32"/>
        </w:rPr>
      </w:pPr>
      <w:r>
        <w:rPr>
          <w:rFonts w:eastAsia="仿宋_GB2312"/>
          <w:sz w:val="32"/>
          <w:szCs w:val="32"/>
        </w:rPr>
        <w:t>一、部门</w:t>
      </w:r>
      <w:r>
        <w:rPr>
          <w:rFonts w:hint="eastAsia" w:eastAsia="仿宋_GB2312"/>
          <w:sz w:val="32"/>
          <w:szCs w:val="32"/>
        </w:rPr>
        <w:t>职责</w:t>
      </w:r>
    </w:p>
    <w:p>
      <w:pPr>
        <w:widowControl/>
        <w:spacing w:line="580" w:lineRule="exact"/>
        <w:ind w:firstLine="1273" w:firstLineChars="398"/>
        <w:rPr>
          <w:rFonts w:eastAsia="仿宋_GB2312"/>
          <w:sz w:val="32"/>
          <w:szCs w:val="32"/>
        </w:rPr>
      </w:pPr>
      <w:r>
        <w:rPr>
          <w:rFonts w:eastAsia="仿宋_GB2312"/>
          <w:sz w:val="32"/>
          <w:szCs w:val="32"/>
        </w:rPr>
        <w:t>二、</w:t>
      </w:r>
      <w:r>
        <w:rPr>
          <w:rFonts w:hint="eastAsia" w:eastAsia="仿宋_GB2312"/>
          <w:sz w:val="32"/>
          <w:szCs w:val="32"/>
        </w:rPr>
        <w:t>机构设置</w:t>
      </w:r>
    </w:p>
    <w:p>
      <w:pPr>
        <w:widowControl/>
        <w:spacing w:line="580" w:lineRule="exact"/>
        <w:ind w:firstLine="640" w:firstLineChars="200"/>
        <w:rPr>
          <w:rFonts w:eastAsia="仿宋_GB2312"/>
          <w:sz w:val="20"/>
          <w:szCs w:val="32"/>
        </w:rPr>
      </w:pPr>
      <w:r>
        <w:rPr>
          <w:rFonts w:eastAsia="黑体"/>
          <w:sz w:val="32"/>
          <w:szCs w:val="32"/>
        </w:rPr>
        <w:t xml:space="preserve">第二部分 </w:t>
      </w:r>
      <w:r>
        <w:rPr>
          <w:rFonts w:hint="eastAsia" w:eastAsia="黑体"/>
          <w:sz w:val="32"/>
          <w:szCs w:val="32"/>
          <w:lang w:val="en-US" w:eastAsia="zh-CN"/>
        </w:rPr>
        <w:t xml:space="preserve"> </w:t>
      </w:r>
      <w:r>
        <w:rPr>
          <w:rFonts w:eastAsia="黑体"/>
          <w:sz w:val="32"/>
          <w:szCs w:val="32"/>
        </w:rPr>
        <w:t>201</w:t>
      </w:r>
      <w:r>
        <w:rPr>
          <w:rFonts w:hint="eastAsia" w:eastAsia="黑体"/>
          <w:sz w:val="32"/>
          <w:szCs w:val="32"/>
        </w:rPr>
        <w:t>8</w:t>
      </w:r>
      <w:r>
        <w:rPr>
          <w:rFonts w:eastAsia="黑体"/>
          <w:sz w:val="32"/>
          <w:szCs w:val="32"/>
        </w:rPr>
        <w:t>年度部门决算报表</w:t>
      </w:r>
    </w:p>
    <w:p>
      <w:pPr>
        <w:widowControl/>
        <w:spacing w:line="580" w:lineRule="exact"/>
        <w:ind w:left="640" w:firstLine="640" w:firstLineChars="200"/>
        <w:rPr>
          <w:rFonts w:eastAsia="仿宋_GB2312"/>
          <w:sz w:val="32"/>
          <w:szCs w:val="32"/>
        </w:rPr>
      </w:pPr>
      <w:r>
        <w:rPr>
          <w:rFonts w:eastAsia="仿宋_GB2312"/>
          <w:sz w:val="32"/>
          <w:szCs w:val="32"/>
        </w:rPr>
        <w:t>一、收入支出决算总表</w:t>
      </w:r>
    </w:p>
    <w:p>
      <w:pPr>
        <w:widowControl/>
        <w:spacing w:line="580" w:lineRule="exact"/>
        <w:ind w:left="640" w:firstLine="640" w:firstLineChars="200"/>
        <w:rPr>
          <w:rFonts w:eastAsia="仿宋_GB2312"/>
          <w:sz w:val="32"/>
          <w:szCs w:val="32"/>
        </w:rPr>
      </w:pPr>
      <w:r>
        <w:rPr>
          <w:rFonts w:eastAsia="仿宋_GB2312"/>
          <w:sz w:val="32"/>
          <w:szCs w:val="32"/>
        </w:rPr>
        <w:t>二、收入决算表</w:t>
      </w:r>
    </w:p>
    <w:p>
      <w:pPr>
        <w:widowControl/>
        <w:spacing w:line="580" w:lineRule="exact"/>
        <w:ind w:left="640" w:firstLine="640" w:firstLineChars="200"/>
        <w:rPr>
          <w:rFonts w:eastAsia="仿宋_GB2312"/>
          <w:sz w:val="32"/>
          <w:szCs w:val="32"/>
        </w:rPr>
      </w:pPr>
      <w:r>
        <w:rPr>
          <w:rFonts w:eastAsia="仿宋_GB2312"/>
          <w:sz w:val="32"/>
          <w:szCs w:val="32"/>
        </w:rPr>
        <w:t>三、支出决算表</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四、财政拨款收入支出决算总表</w:t>
      </w:r>
    </w:p>
    <w:p>
      <w:pPr>
        <w:widowControl/>
        <w:spacing w:line="580" w:lineRule="exact"/>
        <w:ind w:left="640" w:firstLine="640" w:firstLineChars="200"/>
        <w:rPr>
          <w:rFonts w:eastAsia="仿宋_GB2312"/>
          <w:sz w:val="32"/>
          <w:szCs w:val="32"/>
        </w:rPr>
      </w:pPr>
      <w:r>
        <w:rPr>
          <w:rFonts w:eastAsia="仿宋_GB2312"/>
          <w:sz w:val="32"/>
          <w:szCs w:val="32"/>
        </w:rPr>
        <w:t>五、一般公共预算财政拨款支出决算表</w:t>
      </w:r>
    </w:p>
    <w:p>
      <w:pPr>
        <w:widowControl/>
        <w:spacing w:line="580" w:lineRule="exact"/>
        <w:ind w:left="640" w:firstLine="640" w:firstLineChars="200"/>
        <w:rPr>
          <w:rFonts w:eastAsia="仿宋_GB2312"/>
          <w:sz w:val="32"/>
          <w:szCs w:val="32"/>
        </w:rPr>
      </w:pPr>
      <w:r>
        <w:rPr>
          <w:rFonts w:eastAsia="仿宋_GB2312"/>
          <w:sz w:val="32"/>
          <w:szCs w:val="32"/>
        </w:rPr>
        <w:t>六、一般公共预算财政拨款基本支出决算表</w:t>
      </w:r>
    </w:p>
    <w:p>
      <w:pPr>
        <w:widowControl/>
        <w:spacing w:line="580" w:lineRule="exact"/>
        <w:ind w:left="640" w:firstLine="640" w:firstLineChars="200"/>
        <w:rPr>
          <w:rFonts w:eastAsia="仿宋_GB2312"/>
          <w:sz w:val="32"/>
          <w:szCs w:val="32"/>
        </w:rPr>
      </w:pPr>
      <w:r>
        <w:rPr>
          <w:rFonts w:eastAsia="仿宋_GB2312"/>
          <w:sz w:val="32"/>
          <w:szCs w:val="32"/>
        </w:rPr>
        <w:t>七、</w:t>
      </w:r>
      <w:r>
        <w:rPr>
          <w:rFonts w:hint="eastAsia" w:eastAsia="仿宋_GB2312"/>
          <w:sz w:val="32"/>
          <w:szCs w:val="32"/>
        </w:rPr>
        <w:t>一般公共预算财政拨款</w:t>
      </w:r>
      <w:r>
        <w:rPr>
          <w:rFonts w:eastAsia="仿宋_GB2312"/>
          <w:sz w:val="32"/>
          <w:szCs w:val="32"/>
        </w:rPr>
        <w:t>“三公”经费</w:t>
      </w:r>
      <w:r>
        <w:rPr>
          <w:rFonts w:hint="eastAsia"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八、</w:t>
      </w:r>
      <w:r>
        <w:rPr>
          <w:rFonts w:eastAsia="仿宋_GB2312"/>
          <w:sz w:val="32"/>
          <w:szCs w:val="32"/>
        </w:rPr>
        <w:t>政府性基金预算财政拨款收入支出决算表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九</w:t>
      </w:r>
      <w:r>
        <w:rPr>
          <w:rFonts w:eastAsia="仿宋_GB2312"/>
          <w:sz w:val="32"/>
          <w:szCs w:val="32"/>
        </w:rPr>
        <w:t>、国有资本经营预算</w:t>
      </w:r>
      <w:r>
        <w:rPr>
          <w:rFonts w:hint="eastAsia" w:eastAsia="仿宋_GB2312"/>
          <w:sz w:val="32"/>
          <w:szCs w:val="32"/>
        </w:rPr>
        <w:t>财政拨款</w:t>
      </w:r>
      <w:r>
        <w:rPr>
          <w:rFonts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十</w:t>
      </w:r>
      <w:r>
        <w:rPr>
          <w:rFonts w:eastAsia="仿宋_GB2312"/>
          <w:sz w:val="32"/>
          <w:szCs w:val="32"/>
        </w:rPr>
        <w:t>、政府采购情况表</w:t>
      </w:r>
    </w:p>
    <w:p>
      <w:pPr>
        <w:widowControl/>
        <w:spacing w:line="580" w:lineRule="exact"/>
        <w:ind w:firstLine="640" w:firstLineChars="200"/>
        <w:rPr>
          <w:rFonts w:eastAsia="黑体"/>
          <w:sz w:val="32"/>
          <w:szCs w:val="32"/>
        </w:rPr>
      </w:pPr>
      <w:r>
        <w:rPr>
          <w:rFonts w:eastAsia="黑体"/>
          <w:sz w:val="32"/>
          <w:szCs w:val="32"/>
        </w:rPr>
        <w:t xml:space="preserve">第三部分  </w:t>
      </w:r>
      <w:r>
        <w:rPr>
          <w:rFonts w:hint="eastAsia" w:eastAsia="黑体"/>
          <w:sz w:val="32"/>
          <w:szCs w:val="32"/>
          <w:lang w:val="en-US" w:eastAsia="zh-CN"/>
        </w:rPr>
        <w:t>大厂回族自治县审计局</w:t>
      </w:r>
      <w:r>
        <w:rPr>
          <w:rFonts w:eastAsia="黑体"/>
          <w:sz w:val="32"/>
          <w:szCs w:val="32"/>
        </w:rPr>
        <w:t>201</w:t>
      </w:r>
      <w:r>
        <w:rPr>
          <w:rFonts w:hint="eastAsia" w:eastAsia="黑体"/>
          <w:sz w:val="32"/>
          <w:szCs w:val="32"/>
        </w:rPr>
        <w:t>8</w:t>
      </w:r>
      <w:r>
        <w:rPr>
          <w:rFonts w:eastAsia="黑体"/>
          <w:sz w:val="32"/>
          <w:szCs w:val="32"/>
        </w:rPr>
        <w:t>年部门决算情况说明</w:t>
      </w:r>
    </w:p>
    <w:p>
      <w:pPr>
        <w:widowControl/>
        <w:spacing w:line="580" w:lineRule="exact"/>
        <w:ind w:left="640" w:firstLine="640" w:firstLineChars="200"/>
        <w:rPr>
          <w:rFonts w:eastAsia="仿宋_GB2312"/>
          <w:sz w:val="32"/>
          <w:szCs w:val="32"/>
        </w:rPr>
      </w:pPr>
      <w:r>
        <w:rPr>
          <w:rFonts w:eastAsia="仿宋_GB2312"/>
          <w:sz w:val="32"/>
          <w:szCs w:val="32"/>
        </w:rPr>
        <w:t>一、收入支出决算总体情况说明</w:t>
      </w:r>
    </w:p>
    <w:p>
      <w:pPr>
        <w:widowControl/>
        <w:spacing w:line="580" w:lineRule="exact"/>
        <w:ind w:left="640" w:firstLine="640" w:firstLineChars="200"/>
        <w:rPr>
          <w:rFonts w:eastAsia="仿宋_GB2312"/>
          <w:sz w:val="32"/>
          <w:szCs w:val="32"/>
        </w:rPr>
      </w:pPr>
      <w:r>
        <w:rPr>
          <w:rFonts w:eastAsia="仿宋_GB2312"/>
          <w:sz w:val="32"/>
          <w:szCs w:val="32"/>
        </w:rPr>
        <w:t>二、收入决算情况说明</w:t>
      </w:r>
    </w:p>
    <w:p>
      <w:pPr>
        <w:widowControl/>
        <w:spacing w:line="580" w:lineRule="exact"/>
        <w:ind w:left="640" w:firstLine="640" w:firstLineChars="200"/>
        <w:rPr>
          <w:rFonts w:eastAsia="仿宋_GB2312"/>
          <w:sz w:val="32"/>
          <w:szCs w:val="32"/>
        </w:rPr>
      </w:pPr>
      <w:r>
        <w:rPr>
          <w:rFonts w:eastAsia="仿宋_GB2312"/>
          <w:sz w:val="32"/>
          <w:szCs w:val="32"/>
        </w:rPr>
        <w:t>三、支出决算情况说明</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w:t>
      </w:r>
      <w:r>
        <w:rPr>
          <w:rFonts w:eastAsia="仿宋_GB2312"/>
          <w:sz w:val="32"/>
          <w:szCs w:val="32"/>
        </w:rPr>
        <w:t>“三公”经费支出决算情况说明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六</w:t>
      </w:r>
      <w:r>
        <w:rPr>
          <w:rFonts w:eastAsia="仿宋_GB2312"/>
          <w:sz w:val="32"/>
          <w:szCs w:val="32"/>
        </w:rPr>
        <w:t>、预算绩效情况说明</w:t>
      </w:r>
    </w:p>
    <w:p>
      <w:pPr>
        <w:widowControl/>
        <w:spacing w:line="580" w:lineRule="exact"/>
        <w:ind w:left="640" w:firstLine="640" w:firstLineChars="200"/>
        <w:rPr>
          <w:rFonts w:eastAsia="仿宋_GB2312"/>
          <w:sz w:val="32"/>
          <w:szCs w:val="32"/>
        </w:rPr>
      </w:pPr>
      <w:r>
        <w:rPr>
          <w:rFonts w:hint="eastAsia" w:eastAsia="仿宋_GB2312"/>
          <w:sz w:val="32"/>
          <w:szCs w:val="32"/>
        </w:rPr>
        <w:t>七</w:t>
      </w:r>
      <w:r>
        <w:rPr>
          <w:rFonts w:eastAsia="仿宋_GB2312"/>
          <w:sz w:val="32"/>
          <w:szCs w:val="32"/>
        </w:rPr>
        <w:t>、其他重要事项的说明</w:t>
      </w:r>
    </w:p>
    <w:p>
      <w:pPr>
        <w:widowControl/>
        <w:spacing w:line="580" w:lineRule="exact"/>
        <w:ind w:firstLine="640" w:firstLineChars="200"/>
        <w:rPr>
          <w:rFonts w:eastAsia="黑体"/>
          <w:sz w:val="32"/>
          <w:szCs w:val="32"/>
        </w:rPr>
      </w:pPr>
      <w:r>
        <w:rPr>
          <w:rFonts w:eastAsia="黑体"/>
          <w:sz w:val="32"/>
          <w:szCs w:val="32"/>
        </w:rPr>
        <w:t>第四部分名词解释</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br w:type="page"/>
      </w:r>
    </w:p>
    <w:p/>
    <w:p/>
    <w:p/>
    <w:p/>
    <w:p/>
    <w:p/>
    <w:p>
      <w:pPr>
        <w:widowControl/>
        <w:jc w:val="center"/>
        <w:rPr>
          <w:color w:val="000000" w:themeColor="text1"/>
          <w:sz w:val="96"/>
          <w:szCs w:val="96"/>
          <w14:textFill>
            <w14:solidFill>
              <w14:schemeClr w14:val="tx1"/>
            </w14:solidFill>
          </w14:textFill>
        </w:rPr>
      </w:pPr>
      <w:r>
        <w:rPr>
          <w:rFonts w:hint="eastAsia" w:hAnsi="宋体" w:asciiTheme="minorEastAsia" w:eastAsiaTheme="minorEastAsia"/>
          <w:color w:val="000000" w:themeColor="text1"/>
          <w:sz w:val="96"/>
          <w:szCs w:val="96"/>
          <w14:textFill>
            <w14:solidFill>
              <w14:schemeClr w14:val="tx1"/>
            </w14:solidFill>
          </w14:textFill>
        </w:rPr>
        <w:t>第一部分  部门概况</w:t>
      </w:r>
    </w:p>
    <w:p/>
    <w:p/>
    <w:p/>
    <w:p/>
    <w:p/>
    <w:p/>
    <w:p/>
    <w:p/>
    <w:p>
      <w:pPr>
        <w:pStyle w:val="2"/>
        <w:spacing w:before="0" w:after="0" w:line="600" w:lineRule="exact"/>
        <w:jc w:val="left"/>
        <w:rPr>
          <w:rFonts w:ascii="黑体" w:eastAsia="黑体" w:cs="黑体" w:hAnsiTheme="minorHAnsi"/>
          <w:b w:val="0"/>
          <w:bCs w:val="0"/>
          <w:kern w:val="0"/>
          <w:sz w:val="32"/>
          <w:szCs w:val="32"/>
        </w:rPr>
      </w:pPr>
      <w:r>
        <w:rPr>
          <w:rFonts w:hint="eastAsia" w:ascii="黑体" w:eastAsia="黑体" w:cs="黑体" w:hAnsiTheme="minorHAnsi"/>
          <w:b w:val="0"/>
          <w:bCs w:val="0"/>
          <w:kern w:val="0"/>
          <w:sz w:val="32"/>
          <w:szCs w:val="32"/>
        </w:rPr>
        <w:t>一、部门职责</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left"/>
        <w:textAlignment w:val="auto"/>
        <w:outlineLvl w:val="9"/>
        <w:rPr>
          <w:rFonts w:hint="eastAsia" w:ascii="仿宋" w:hAnsi="仿宋" w:eastAsia="仿宋" w:cs="仿宋"/>
          <w:sz w:val="32"/>
          <w:szCs w:val="32"/>
          <w:lang w:eastAsia="zh-CN"/>
        </w:rPr>
      </w:pPr>
      <w:r>
        <w:rPr>
          <w:rFonts w:hint="eastAsia" w:ascii="仿宋" w:hAnsi="仿宋" w:eastAsia="仿宋" w:cs="仿宋"/>
          <w:sz w:val="32"/>
          <w:szCs w:val="32"/>
          <w:lang w:eastAsia="zh-CN"/>
        </w:rPr>
        <w:t>组织领导全县的审计工作，监督检查国家财经法规的贯彻落实，查处与财政收支、财务收支有关的违法违纪行为，维护财政经济秩序，促进廉政建设，保证国民经济和社会健康发展。</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left"/>
        <w:textAlignment w:val="auto"/>
        <w:outlineLvl w:val="9"/>
        <w:rPr>
          <w:rFonts w:hint="eastAsia" w:ascii="仿宋" w:hAnsi="仿宋" w:eastAsia="仿宋" w:cs="仿宋"/>
          <w:sz w:val="32"/>
          <w:szCs w:val="32"/>
          <w:lang w:eastAsia="zh-CN"/>
        </w:rPr>
      </w:pPr>
      <w:r>
        <w:rPr>
          <w:rFonts w:hint="eastAsia" w:ascii="仿宋" w:hAnsi="仿宋" w:eastAsia="仿宋" w:cs="仿宋"/>
          <w:sz w:val="32"/>
          <w:szCs w:val="32"/>
          <w:lang w:eastAsia="zh-CN"/>
        </w:rPr>
        <w:t>（一）对县本级各部门(含直属单位)和下级政府预算的执行情况和决算以及其他财政收支情况，进行审计监督。</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left"/>
        <w:textAlignment w:val="auto"/>
        <w:outlineLvl w:val="9"/>
        <w:rPr>
          <w:rFonts w:hint="eastAsia" w:ascii="仿宋" w:hAnsi="仿宋" w:eastAsia="仿宋" w:cs="仿宋"/>
          <w:sz w:val="32"/>
          <w:szCs w:val="32"/>
          <w:lang w:eastAsia="zh-CN"/>
        </w:rPr>
      </w:pPr>
      <w:r>
        <w:rPr>
          <w:rFonts w:hint="eastAsia" w:ascii="仿宋" w:hAnsi="仿宋" w:eastAsia="仿宋" w:cs="仿宋"/>
          <w:sz w:val="32"/>
          <w:szCs w:val="32"/>
          <w:lang w:eastAsia="zh-CN"/>
        </w:rPr>
        <w:t>（二）对县本级预算执行情况和其他财政收支情况进行审计监督，向县政府和市审计局提出审计结果报告；受县政府委托向县人大常委会提出本级预算执行情况和其他财政收支的审计工作报告。</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left"/>
        <w:textAlignment w:val="auto"/>
        <w:outlineLvl w:val="9"/>
        <w:rPr>
          <w:rFonts w:hint="eastAsia" w:ascii="仿宋" w:hAnsi="仿宋" w:eastAsia="仿宋" w:cs="仿宋"/>
          <w:sz w:val="32"/>
          <w:szCs w:val="32"/>
          <w:lang w:eastAsia="zh-CN"/>
        </w:rPr>
      </w:pPr>
      <w:r>
        <w:rPr>
          <w:rFonts w:hint="eastAsia" w:ascii="仿宋" w:hAnsi="仿宋" w:eastAsia="仿宋" w:cs="仿宋"/>
          <w:sz w:val="32"/>
          <w:szCs w:val="32"/>
          <w:lang w:eastAsia="zh-CN"/>
        </w:rPr>
        <w:t>（三）对县属国有金融机构的资产、负债、损益，进行审计监督。</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left"/>
        <w:textAlignment w:val="auto"/>
        <w:outlineLvl w:val="9"/>
        <w:rPr>
          <w:rFonts w:hint="eastAsia" w:ascii="仿宋" w:hAnsi="仿宋" w:eastAsia="仿宋" w:cs="仿宋"/>
          <w:sz w:val="32"/>
          <w:szCs w:val="32"/>
          <w:lang w:eastAsia="zh-CN"/>
        </w:rPr>
      </w:pPr>
      <w:r>
        <w:rPr>
          <w:rFonts w:hint="eastAsia" w:ascii="仿宋" w:hAnsi="仿宋" w:eastAsia="仿宋" w:cs="仿宋"/>
          <w:sz w:val="32"/>
          <w:szCs w:val="32"/>
          <w:lang w:eastAsia="zh-CN"/>
        </w:rPr>
        <w:t>（四）对县属的事业组织和使用财政资金的其他事业组织的财务收支，进行审计监督。</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left"/>
        <w:textAlignment w:val="auto"/>
        <w:outlineLvl w:val="9"/>
        <w:rPr>
          <w:rFonts w:hint="eastAsia" w:ascii="仿宋" w:hAnsi="仿宋" w:eastAsia="仿宋" w:cs="仿宋"/>
          <w:sz w:val="32"/>
          <w:szCs w:val="32"/>
          <w:lang w:eastAsia="zh-CN"/>
        </w:rPr>
      </w:pPr>
      <w:r>
        <w:rPr>
          <w:rFonts w:hint="eastAsia" w:ascii="仿宋" w:hAnsi="仿宋" w:eastAsia="仿宋" w:cs="仿宋"/>
          <w:sz w:val="32"/>
          <w:szCs w:val="32"/>
          <w:lang w:eastAsia="zh-CN"/>
        </w:rPr>
        <w:t>（五）对县属国有企业的资产、负债、损益，进行审计监督。</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left"/>
        <w:textAlignment w:val="auto"/>
        <w:outlineLvl w:val="9"/>
        <w:rPr>
          <w:rFonts w:hint="eastAsia" w:ascii="仿宋" w:hAnsi="仿宋" w:eastAsia="仿宋" w:cs="仿宋"/>
          <w:sz w:val="32"/>
          <w:szCs w:val="32"/>
          <w:lang w:eastAsia="zh-CN"/>
        </w:rPr>
      </w:pPr>
      <w:r>
        <w:rPr>
          <w:rFonts w:hint="eastAsia" w:ascii="仿宋" w:hAnsi="仿宋" w:eastAsia="仿宋" w:cs="仿宋"/>
          <w:sz w:val="32"/>
          <w:szCs w:val="32"/>
          <w:lang w:eastAsia="zh-CN"/>
        </w:rPr>
        <w:t>（六）根据国家有关规定，对国有资本占控股地位或者主导地位的县属企业、金融机构进行审计监督。</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left"/>
        <w:textAlignment w:val="auto"/>
        <w:outlineLvl w:val="9"/>
        <w:rPr>
          <w:rFonts w:hint="eastAsia" w:ascii="仿宋" w:hAnsi="仿宋" w:eastAsia="仿宋" w:cs="仿宋"/>
          <w:sz w:val="32"/>
          <w:szCs w:val="32"/>
          <w:lang w:eastAsia="zh-CN"/>
        </w:rPr>
      </w:pPr>
      <w:r>
        <w:rPr>
          <w:rFonts w:hint="eastAsia" w:ascii="仿宋" w:hAnsi="仿宋" w:eastAsia="仿宋" w:cs="仿宋"/>
          <w:sz w:val="32"/>
          <w:szCs w:val="32"/>
          <w:lang w:eastAsia="zh-CN"/>
        </w:rPr>
        <w:t>（七）对县政府投资和以市政府投资为主的建设项目的预算执行情况和决算，进行审计监督。</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left"/>
        <w:textAlignment w:val="auto"/>
        <w:outlineLvl w:val="9"/>
        <w:rPr>
          <w:rFonts w:hint="eastAsia" w:ascii="仿宋" w:hAnsi="仿宋" w:eastAsia="仿宋" w:cs="仿宋"/>
          <w:sz w:val="32"/>
          <w:szCs w:val="32"/>
          <w:lang w:eastAsia="zh-CN"/>
        </w:rPr>
      </w:pPr>
      <w:r>
        <w:rPr>
          <w:rFonts w:hint="eastAsia" w:ascii="仿宋" w:hAnsi="仿宋" w:eastAsia="仿宋" w:cs="仿宋"/>
          <w:sz w:val="32"/>
          <w:szCs w:val="32"/>
          <w:lang w:eastAsia="zh-CN"/>
        </w:rPr>
        <w:t>（八）对县政府部门管理的和其他单位受县政府委托管理的社会保障基金、社会捐赠资金以及其他有关基金、资金的财务收支，进行审计监督。</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left"/>
        <w:textAlignment w:val="auto"/>
        <w:outlineLvl w:val="9"/>
        <w:rPr>
          <w:rFonts w:hint="eastAsia" w:ascii="仿宋" w:hAnsi="仿宋" w:eastAsia="仿宋" w:cs="仿宋"/>
          <w:sz w:val="32"/>
          <w:szCs w:val="32"/>
          <w:lang w:eastAsia="zh-CN"/>
        </w:rPr>
      </w:pPr>
      <w:r>
        <w:rPr>
          <w:rFonts w:hint="eastAsia" w:ascii="仿宋" w:hAnsi="仿宋" w:eastAsia="仿宋" w:cs="仿宋"/>
          <w:sz w:val="32"/>
          <w:szCs w:val="32"/>
          <w:lang w:eastAsia="zh-CN"/>
        </w:rPr>
        <w:t>（九）按照国家有关规定，根据干部监督、管理部门的委托，对县辖镇（乡）党政机关，县直机关及事业单位，县属国有及国有控股企业和依法属于县审计局审计监督对象的其他单位的主要负责人任期经济责任履行情况，进行审计监督</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left"/>
        <w:textAlignment w:val="auto"/>
        <w:outlineLvl w:val="9"/>
        <w:rPr>
          <w:rFonts w:hint="eastAsia" w:ascii="仿宋" w:hAnsi="仿宋" w:eastAsia="仿宋" w:cs="仿宋"/>
          <w:sz w:val="32"/>
          <w:szCs w:val="32"/>
          <w:lang w:eastAsia="zh-CN"/>
        </w:rPr>
      </w:pPr>
      <w:r>
        <w:rPr>
          <w:rFonts w:hint="eastAsia" w:ascii="仿宋" w:hAnsi="仿宋" w:eastAsia="仿宋" w:cs="仿宋"/>
          <w:sz w:val="32"/>
          <w:szCs w:val="32"/>
          <w:lang w:eastAsia="zh-CN"/>
        </w:rPr>
        <w:t>（十）除审计法规定的审计事项外，对其他法律、行政法规规定应当由县审计局进行审计的事项，依照审计法和有关法律、行政法规的规定进行审计监督。</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left"/>
        <w:textAlignment w:val="auto"/>
        <w:outlineLvl w:val="9"/>
        <w:rPr>
          <w:rFonts w:hint="eastAsia" w:ascii="仿宋" w:hAnsi="仿宋" w:eastAsia="仿宋" w:cs="仿宋"/>
          <w:sz w:val="32"/>
          <w:szCs w:val="32"/>
          <w:lang w:eastAsia="zh-CN"/>
        </w:rPr>
      </w:pPr>
      <w:r>
        <w:rPr>
          <w:rFonts w:hint="eastAsia" w:ascii="仿宋" w:hAnsi="仿宋" w:eastAsia="仿宋" w:cs="仿宋"/>
          <w:sz w:val="32"/>
          <w:szCs w:val="32"/>
          <w:lang w:eastAsia="zh-CN"/>
        </w:rPr>
        <w:t>（十一）对全县内部审计工作进行业务指导和监督。</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left"/>
        <w:textAlignment w:val="auto"/>
        <w:outlineLvl w:val="9"/>
        <w:rPr>
          <w:rFonts w:hint="eastAsia" w:ascii="仿宋" w:hAnsi="仿宋" w:eastAsia="仿宋" w:cs="仿宋"/>
          <w:sz w:val="32"/>
          <w:szCs w:val="32"/>
          <w:lang w:eastAsia="zh-CN"/>
        </w:rPr>
      </w:pPr>
      <w:r>
        <w:rPr>
          <w:rFonts w:hint="eastAsia" w:ascii="仿宋" w:hAnsi="仿宋" w:eastAsia="仿宋" w:cs="仿宋"/>
          <w:sz w:val="32"/>
          <w:szCs w:val="32"/>
          <w:lang w:eastAsia="zh-CN"/>
        </w:rPr>
        <w:t>（十二）按照国家有关规定，对社会审计机构审计的单位依法属于县审计局审计监督对象的，县审计局有权对该社会审计机构出具的相关审计报告进行核查。</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left"/>
        <w:textAlignment w:val="auto"/>
        <w:outlineLvl w:val="9"/>
        <w:rPr>
          <w:rFonts w:hint="eastAsia" w:ascii="仿宋" w:hAnsi="仿宋" w:eastAsia="仿宋" w:cs="仿宋"/>
          <w:sz w:val="32"/>
          <w:szCs w:val="32"/>
          <w:lang w:eastAsia="zh-CN"/>
        </w:rPr>
      </w:pPr>
      <w:r>
        <w:rPr>
          <w:rFonts w:hint="eastAsia" w:ascii="仿宋" w:hAnsi="仿宋" w:eastAsia="仿宋" w:cs="仿宋"/>
          <w:sz w:val="32"/>
          <w:szCs w:val="32"/>
          <w:lang w:eastAsia="zh-CN"/>
        </w:rPr>
        <w:t>（十三）贯彻落实国家审计法律、法规和规章，研究拟定地方性审计规章制度，参与制定地方财经法规和规章并监督执行。</w:t>
      </w:r>
    </w:p>
    <w:p>
      <w:pPr>
        <w:autoSpaceDE w:val="0"/>
        <w:autoSpaceDN w:val="0"/>
        <w:adjustRightInd w:val="0"/>
        <w:jc w:val="left"/>
        <w:rPr>
          <w:rFonts w:hint="eastAsia" w:ascii="楷体" w:hAnsi="楷体" w:eastAsia="楷体" w:cs="楷体"/>
          <w:b/>
          <w:sz w:val="32"/>
          <w:szCs w:val="32"/>
        </w:rPr>
      </w:pPr>
      <w:r>
        <w:rPr>
          <w:rFonts w:hint="eastAsia" w:ascii="方正仿宋_GBK" w:hAnsi="Times New Roman" w:eastAsia="方正仿宋_GBK" w:cs="Times New Roman"/>
          <w:b/>
          <w:sz w:val="32"/>
          <w:szCs w:val="32"/>
          <w:lang w:val="en-US" w:eastAsia="zh-CN"/>
        </w:rPr>
        <w:t xml:space="preserve">   </w:t>
      </w:r>
    </w:p>
    <w:p>
      <w:pPr>
        <w:jc w:val="center"/>
        <w:outlineLvl w:val="0"/>
        <w:rPr>
          <w:rFonts w:ascii="Times New Roman" w:hAnsi="Times New Roman" w:eastAsia="方正小标宋_GBK" w:cs="Times New Roman"/>
          <w:sz w:val="32"/>
          <w:szCs w:val="24"/>
        </w:rPr>
      </w:pPr>
      <w:r>
        <w:rPr>
          <w:rFonts w:ascii="Times New Roman" w:hAnsi="Times New Roman" w:eastAsia="方正小标宋_GBK" w:cs="Times New Roman"/>
          <w:sz w:val="32"/>
          <w:szCs w:val="24"/>
        </w:rPr>
        <w:t>部门</w:t>
      </w:r>
      <w:r>
        <w:rPr>
          <w:rFonts w:hint="eastAsia" w:ascii="Times New Roman" w:hAnsi="Times New Roman" w:eastAsia="方正小标宋_GBK" w:cs="Times New Roman"/>
          <w:sz w:val="32"/>
          <w:szCs w:val="24"/>
        </w:rPr>
        <w:t>机构设置情况</w:t>
      </w:r>
    </w:p>
    <w:p>
      <w:pPr>
        <w:pStyle w:val="2"/>
        <w:spacing w:before="0" w:after="0" w:line="600" w:lineRule="exact"/>
        <w:jc w:val="left"/>
        <w:rPr>
          <w:rFonts w:ascii="黑体" w:eastAsia="黑体" w:cs="黑体" w:hAnsiTheme="minorHAnsi"/>
          <w:b w:val="0"/>
          <w:bCs w:val="0"/>
          <w:kern w:val="0"/>
          <w:sz w:val="32"/>
          <w:szCs w:val="32"/>
        </w:rPr>
      </w:pPr>
      <w:r>
        <w:rPr>
          <w:rFonts w:hint="eastAsia" w:ascii="黑体" w:eastAsia="黑体" w:cs="黑体" w:hAnsiTheme="minorHAnsi"/>
          <w:b w:val="0"/>
          <w:bCs w:val="0"/>
          <w:kern w:val="0"/>
          <w:sz w:val="32"/>
          <w:szCs w:val="32"/>
        </w:rPr>
        <w:t>二、机构设置</w:t>
      </w:r>
    </w:p>
    <w:p>
      <w:pPr>
        <w:spacing w:after="0" w:line="560" w:lineRule="exact"/>
        <w:rPr>
          <w:rFonts w:ascii="仿宋_GB2312" w:eastAsia="仿宋_GB2312" w:cs="ArialUnicodeMS" w:hAnsiTheme="minorHAnsi"/>
          <w:kern w:val="0"/>
          <w:sz w:val="32"/>
          <w:szCs w:val="32"/>
        </w:rPr>
      </w:pPr>
      <w:r>
        <w:rPr>
          <w:rFonts w:hint="eastAsia" w:ascii="仿宋_GB2312" w:eastAsia="仿宋_GB2312" w:cs="ArialUnicodeMS" w:hAnsiTheme="minorHAnsi"/>
          <w:kern w:val="0"/>
          <w:sz w:val="32"/>
          <w:szCs w:val="32"/>
        </w:rPr>
        <w:t>从决算编报单位构成看，纳入2018 年度本部门决算汇编范围的独立核算单位（以下简称“单位”）共</w:t>
      </w:r>
      <w:r>
        <w:rPr>
          <w:rFonts w:hint="eastAsia" w:ascii="仿宋_GB2312" w:eastAsia="仿宋_GB2312" w:cs="ArialUnicodeMS" w:hAnsiTheme="minorHAnsi"/>
          <w:kern w:val="0"/>
          <w:sz w:val="32"/>
          <w:szCs w:val="32"/>
          <w:lang w:val="en-US" w:eastAsia="zh-CN"/>
        </w:rPr>
        <w:t>1</w:t>
      </w:r>
      <w:r>
        <w:rPr>
          <w:rFonts w:hint="eastAsia" w:ascii="仿宋_GB2312" w:eastAsia="仿宋_GB2312" w:cs="ArialUnicodeMS" w:hAnsiTheme="minorHAnsi"/>
          <w:kern w:val="0"/>
          <w:sz w:val="32"/>
          <w:szCs w:val="32"/>
        </w:rPr>
        <w:t>个，具体情况如下：</w:t>
      </w:r>
    </w:p>
    <w:tbl>
      <w:tblPr>
        <w:tblStyle w:val="13"/>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
        <w:gridCol w:w="3857"/>
        <w:gridCol w:w="2229"/>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829" w:type="dxa"/>
            <w:vAlign w:val="center"/>
          </w:tcPr>
          <w:p>
            <w:pPr>
              <w:spacing w:after="0" w:afterLines="0" w:line="560" w:lineRule="exact"/>
              <w:jc w:val="center"/>
              <w:rPr>
                <w:rFonts w:ascii="仿宋_GB2312" w:eastAsia="仿宋_GB2312" w:cs="ArialUnicodeMS" w:hAnsiTheme="minorHAnsi"/>
                <w:b/>
                <w:bCs/>
                <w:kern w:val="0"/>
                <w:sz w:val="28"/>
                <w:szCs w:val="28"/>
              </w:rPr>
            </w:pPr>
            <w:r>
              <w:rPr>
                <w:rFonts w:hint="eastAsia" w:ascii="仿宋_GB2312" w:hAnsi="Cambria" w:eastAsia="仿宋_GB2312" w:cs="ArialUnicodeMS"/>
                <w:b/>
                <w:bCs/>
                <w:kern w:val="0"/>
                <w:sz w:val="28"/>
                <w:szCs w:val="28"/>
              </w:rPr>
              <w:t>序号</w:t>
            </w:r>
          </w:p>
        </w:tc>
        <w:tc>
          <w:tcPr>
            <w:tcW w:w="3857" w:type="dxa"/>
            <w:vAlign w:val="center"/>
          </w:tcPr>
          <w:p>
            <w:pPr>
              <w:spacing w:after="0" w:afterLines="0" w:line="560" w:lineRule="exact"/>
              <w:jc w:val="center"/>
              <w:rPr>
                <w:rFonts w:ascii="仿宋_GB2312" w:eastAsia="仿宋_GB2312" w:cs="ArialUnicodeMS" w:hAnsiTheme="minorHAnsi"/>
                <w:b/>
                <w:bCs/>
                <w:kern w:val="0"/>
                <w:sz w:val="28"/>
                <w:szCs w:val="28"/>
              </w:rPr>
            </w:pPr>
            <w:r>
              <w:rPr>
                <w:rFonts w:hint="eastAsia" w:ascii="仿宋_GB2312" w:hAnsi="Cambria" w:eastAsia="仿宋_GB2312" w:cs="ArialUnicodeMS"/>
                <w:b/>
                <w:bCs/>
                <w:kern w:val="0"/>
                <w:sz w:val="28"/>
                <w:szCs w:val="28"/>
              </w:rPr>
              <w:t>单位名称</w:t>
            </w:r>
          </w:p>
        </w:tc>
        <w:tc>
          <w:tcPr>
            <w:tcW w:w="2229" w:type="dxa"/>
            <w:vAlign w:val="center"/>
          </w:tcPr>
          <w:p>
            <w:pPr>
              <w:spacing w:after="0" w:afterLines="0" w:line="560" w:lineRule="exact"/>
              <w:jc w:val="center"/>
              <w:rPr>
                <w:rFonts w:ascii="仿宋_GB2312" w:eastAsia="仿宋_GB2312" w:cs="ArialUnicodeMS" w:hAnsiTheme="minorHAnsi"/>
                <w:b/>
                <w:bCs/>
                <w:kern w:val="0"/>
                <w:sz w:val="28"/>
                <w:szCs w:val="28"/>
              </w:rPr>
            </w:pPr>
            <w:r>
              <w:rPr>
                <w:rFonts w:hint="eastAsia" w:ascii="仿宋_GB2312" w:hAnsi="Cambria" w:eastAsia="仿宋_GB2312" w:cs="ArialUnicodeMS"/>
                <w:b/>
                <w:bCs/>
                <w:kern w:val="0"/>
                <w:sz w:val="28"/>
                <w:szCs w:val="28"/>
              </w:rPr>
              <w:t>单位基本性质</w:t>
            </w:r>
          </w:p>
        </w:tc>
        <w:tc>
          <w:tcPr>
            <w:tcW w:w="2665" w:type="dxa"/>
            <w:vAlign w:val="center"/>
          </w:tcPr>
          <w:p>
            <w:pPr>
              <w:spacing w:after="0" w:afterLines="0" w:line="560" w:lineRule="exact"/>
              <w:jc w:val="center"/>
              <w:rPr>
                <w:rFonts w:ascii="仿宋_GB2312" w:eastAsia="仿宋_GB2312" w:cs="ArialUnicodeMS" w:hAnsiTheme="minorHAnsi"/>
                <w:b/>
                <w:bCs/>
                <w:kern w:val="0"/>
                <w:sz w:val="28"/>
                <w:szCs w:val="28"/>
              </w:rPr>
            </w:pPr>
            <w:r>
              <w:rPr>
                <w:rFonts w:hint="eastAsia" w:ascii="仿宋_GB2312" w:hAnsi="Cambria" w:eastAsia="仿宋_GB2312" w:cs="ArialUnicodeMS"/>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829" w:type="dxa"/>
            <w:vAlign w:val="top"/>
          </w:tcPr>
          <w:p>
            <w:pPr>
              <w:spacing w:after="0" w:afterLines="0" w:line="560" w:lineRule="exact"/>
              <w:jc w:val="center"/>
              <w:rPr>
                <w:rFonts w:ascii="仿宋_GB2312" w:eastAsia="仿宋_GB2312" w:cs="ArialUnicodeMS" w:hAnsiTheme="minorHAnsi"/>
                <w:kern w:val="0"/>
                <w:sz w:val="28"/>
                <w:szCs w:val="28"/>
              </w:rPr>
            </w:pPr>
            <w:r>
              <w:rPr>
                <w:rFonts w:hint="eastAsia" w:ascii="仿宋_GB2312" w:hAnsi="Cambria" w:eastAsia="仿宋_GB2312" w:cs="ArialUnicodeMS"/>
                <w:kern w:val="0"/>
                <w:sz w:val="28"/>
                <w:szCs w:val="28"/>
              </w:rPr>
              <w:t>1</w:t>
            </w:r>
          </w:p>
        </w:tc>
        <w:tc>
          <w:tcPr>
            <w:tcW w:w="3857" w:type="dxa"/>
            <w:vAlign w:val="top"/>
          </w:tcPr>
          <w:p>
            <w:pPr>
              <w:spacing w:after="0" w:afterLines="0" w:line="560" w:lineRule="exact"/>
              <w:rPr>
                <w:rFonts w:ascii="仿宋_GB2312" w:eastAsia="仿宋_GB2312" w:cs="ArialUnicodeMS" w:hAnsiTheme="minorHAnsi"/>
                <w:kern w:val="0"/>
                <w:sz w:val="28"/>
                <w:szCs w:val="28"/>
              </w:rPr>
            </w:pPr>
            <w:r>
              <w:rPr>
                <w:rFonts w:hint="eastAsia" w:ascii="仿宋_GB2312" w:hAnsi="Cambria" w:eastAsia="仿宋_GB2312" w:cs="ArialUnicodeMS"/>
                <w:kern w:val="0"/>
                <w:sz w:val="28"/>
                <w:szCs w:val="28"/>
                <w:lang w:val="en-US" w:eastAsia="zh-CN"/>
              </w:rPr>
              <w:t>大厂回族自治县审计局</w:t>
            </w:r>
            <w:r>
              <w:rPr>
                <w:rFonts w:hint="eastAsia" w:ascii="仿宋_GB2312" w:hAnsi="Cambria" w:eastAsia="仿宋_GB2312" w:cs="ArialUnicodeMS"/>
                <w:kern w:val="0"/>
                <w:sz w:val="28"/>
                <w:szCs w:val="28"/>
              </w:rPr>
              <w:t>(本级)</w:t>
            </w:r>
          </w:p>
        </w:tc>
        <w:tc>
          <w:tcPr>
            <w:tcW w:w="2229" w:type="dxa"/>
            <w:vAlign w:val="top"/>
          </w:tcPr>
          <w:p>
            <w:pPr>
              <w:spacing w:after="0" w:afterLines="0" w:line="560" w:lineRule="exact"/>
              <w:jc w:val="center"/>
              <w:rPr>
                <w:rFonts w:ascii="Times New Roman" w:hAnsi="Times New Roman" w:eastAsia="宋体" w:cs="Times New Roman"/>
                <w:kern w:val="2"/>
                <w:sz w:val="21"/>
                <w:szCs w:val="24"/>
                <w:lang w:val="en-US" w:eastAsia="zh-CN" w:bidi="ar-SA"/>
              </w:rPr>
            </w:pPr>
            <w:r>
              <w:rPr>
                <w:rFonts w:hint="eastAsia" w:ascii="仿宋_GB2312" w:hAnsi="Cambria" w:eastAsia="仿宋_GB2312" w:cs="ArialUnicodeMS"/>
                <w:kern w:val="0"/>
                <w:sz w:val="28"/>
                <w:szCs w:val="28"/>
                <w:highlight w:val="none"/>
              </w:rPr>
              <w:t>行政单位</w:t>
            </w:r>
          </w:p>
        </w:tc>
        <w:tc>
          <w:tcPr>
            <w:tcW w:w="2665" w:type="dxa"/>
            <w:vAlign w:val="top"/>
          </w:tcPr>
          <w:p>
            <w:pPr>
              <w:spacing w:after="0" w:afterLines="0" w:line="560" w:lineRule="exact"/>
              <w:jc w:val="center"/>
              <w:rPr>
                <w:rFonts w:ascii="仿宋_GB2312" w:eastAsia="仿宋_GB2312" w:cs="ArialUnicodeMS" w:hAnsiTheme="minorHAnsi"/>
                <w:kern w:val="0"/>
                <w:sz w:val="28"/>
                <w:szCs w:val="28"/>
              </w:rPr>
            </w:pPr>
            <w:r>
              <w:rPr>
                <w:rFonts w:ascii="仿宋_GB2312" w:hAnsi="Cambria" w:eastAsia="仿宋_GB2312" w:cs="ArialUnicodeMS"/>
                <w:kern w:val="0"/>
                <w:sz w:val="28"/>
                <w:szCs w:val="28"/>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tcPr>
          <w:p>
            <w:pPr>
              <w:spacing w:after="0" w:line="560" w:lineRule="exact"/>
              <w:ind w:firstLine="560" w:firstLineChars="200"/>
              <w:jc w:val="left"/>
              <w:rPr>
                <w:rFonts w:ascii="仿宋_GB2312" w:eastAsia="仿宋_GB2312" w:cs="ArialUnicodeMS" w:hAnsiTheme="minorHAnsi"/>
                <w:kern w:val="0"/>
                <w:sz w:val="28"/>
                <w:szCs w:val="28"/>
              </w:rPr>
            </w:pPr>
          </w:p>
        </w:tc>
      </w:tr>
    </w:tbl>
    <w:p>
      <w:pPr>
        <w:widowControl/>
        <w:spacing w:line="560" w:lineRule="exact"/>
        <w:jc w:val="center"/>
        <w:rPr>
          <w:rFonts w:ascii="黑体" w:eastAsia="黑体" w:cs="MS-UIGothic,Bold" w:hAnsiTheme="minorHAnsi"/>
          <w:bCs/>
          <w:kern w:val="0"/>
          <w:sz w:val="52"/>
          <w:szCs w:val="52"/>
        </w:rPr>
        <w:sectPr>
          <w:pgSz w:w="11906" w:h="16838"/>
          <w:pgMar w:top="2098" w:right="1474" w:bottom="1984" w:left="1588" w:header="851" w:footer="992" w:gutter="0"/>
          <w:cols w:space="0" w:num="1"/>
          <w:docGrid w:type="lines" w:linePitch="312" w:charSpace="0"/>
        </w:sectPr>
      </w:pPr>
    </w:p>
    <w:p>
      <w:pPr>
        <w:widowControl/>
        <w:spacing w:line="1200" w:lineRule="exact"/>
        <w:jc w:val="both"/>
        <w:rPr>
          <w:rFonts w:hAnsi="宋体" w:asciiTheme="minorEastAsia" w:eastAsiaTheme="minorEastAsia"/>
          <w:color w:val="000000" w:themeColor="text1"/>
          <w:sz w:val="72"/>
          <w:szCs w:val="96"/>
          <w14:textFill>
            <w14:solidFill>
              <w14:schemeClr w14:val="tx1"/>
            </w14:solidFill>
          </w14:textFill>
        </w:rPr>
      </w:pPr>
    </w:p>
    <w:p>
      <w:pPr>
        <w:widowControl/>
        <w:spacing w:line="1200" w:lineRule="exact"/>
        <w:jc w:val="center"/>
        <w:rPr>
          <w:rFonts w:hAnsi="宋体" w:asciiTheme="minorEastAsia" w:eastAsiaTheme="minorEastAsia"/>
          <w:color w:val="000000" w:themeColor="text1"/>
          <w:sz w:val="72"/>
          <w:szCs w:val="96"/>
          <w14:textFill>
            <w14:solidFill>
              <w14:schemeClr w14:val="tx1"/>
            </w14:solidFill>
          </w14:textFill>
        </w:rPr>
      </w:pPr>
      <w:r>
        <w:rPr>
          <w:rFonts w:hint="eastAsia" w:hAnsi="宋体" w:asciiTheme="minorEastAsia" w:eastAsiaTheme="minorEastAsia"/>
          <w:color w:val="000000" w:themeColor="text1"/>
          <w:sz w:val="72"/>
          <w:szCs w:val="96"/>
          <w14:textFill>
            <w14:solidFill>
              <w14:schemeClr w14:val="tx1"/>
            </w14:solidFill>
          </w14:textFill>
        </w:rPr>
        <w:t>第二部分</w:t>
      </w:r>
    </w:p>
    <w:p>
      <w:pPr>
        <w:widowControl/>
        <w:spacing w:line="1200" w:lineRule="exact"/>
        <w:jc w:val="center"/>
        <w:rPr>
          <w:color w:val="000000" w:themeColor="text1"/>
          <w:sz w:val="72"/>
          <w:szCs w:val="96"/>
          <w14:textFill>
            <w14:solidFill>
              <w14:schemeClr w14:val="tx1"/>
            </w14:solidFill>
          </w14:textFill>
        </w:rPr>
      </w:pPr>
      <w:r>
        <w:rPr>
          <w:rFonts w:hint="eastAsia" w:hAnsi="宋体" w:asciiTheme="minorEastAsia" w:eastAsiaTheme="minorEastAsia"/>
          <w:color w:val="000000" w:themeColor="text1"/>
          <w:sz w:val="72"/>
          <w:szCs w:val="96"/>
          <w14:textFill>
            <w14:solidFill>
              <w14:schemeClr w14:val="tx1"/>
            </w14:solidFill>
          </w14:textFill>
        </w:rPr>
        <w:t>2018年度部门决算报表</w:t>
      </w:r>
    </w:p>
    <w:p>
      <w:pPr>
        <w:widowControl/>
        <w:spacing w:line="560" w:lineRule="exact"/>
        <w:jc w:val="center"/>
        <w:rPr>
          <w:rFonts w:ascii="黑体" w:eastAsia="黑体" w:cs="MS-UIGothic,Bold" w:hAnsiTheme="minorHAnsi"/>
          <w:bCs/>
          <w:kern w:val="0"/>
          <w:sz w:val="52"/>
          <w:szCs w:val="52"/>
        </w:rPr>
      </w:pPr>
    </w:p>
    <w:p>
      <w:pPr>
        <w:widowControl/>
        <w:spacing w:line="560" w:lineRule="exact"/>
        <w:jc w:val="center"/>
        <w:rPr>
          <w:rFonts w:ascii="黑体" w:eastAsia="黑体" w:cs="MS-UIGothic,Bold" w:hAnsiTheme="minorHAnsi"/>
          <w:bCs/>
          <w:kern w:val="0"/>
          <w:sz w:val="52"/>
          <w:szCs w:val="52"/>
        </w:rPr>
      </w:pPr>
    </w:p>
    <w:p>
      <w:pPr>
        <w:rPr>
          <w:rFonts w:ascii="宋体" w:hAnsi="宋体" w:cs="ArialUnicodeMS"/>
          <w:color w:val="000000"/>
          <w:kern w:val="0"/>
        </w:r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p>
    <w:tbl>
      <w:tblPr>
        <w:tblStyle w:val="12"/>
        <w:tblW w:w="9300" w:type="dxa"/>
        <w:jc w:val="center"/>
        <w:tblLayout w:type="fixed"/>
        <w:tblCellMar>
          <w:top w:w="0" w:type="dxa"/>
          <w:left w:w="0" w:type="dxa"/>
          <w:bottom w:w="0" w:type="dxa"/>
          <w:right w:w="0" w:type="dxa"/>
        </w:tblCellMar>
      </w:tblPr>
      <w:tblGrid>
        <w:gridCol w:w="2700"/>
        <w:gridCol w:w="567"/>
        <w:gridCol w:w="1336"/>
        <w:gridCol w:w="2700"/>
        <w:gridCol w:w="567"/>
        <w:gridCol w:w="1430"/>
      </w:tblGrid>
      <w:tr>
        <w:tblPrEx>
          <w:tblCellMar>
            <w:top w:w="0" w:type="dxa"/>
            <w:left w:w="0" w:type="dxa"/>
            <w:bottom w:w="0" w:type="dxa"/>
            <w:right w:w="0" w:type="dxa"/>
          </w:tblCellMar>
        </w:tblPrEx>
        <w:trPr>
          <w:trHeight w:val="90" w:hRule="atLeast"/>
          <w:jc w:val="center"/>
        </w:trPr>
        <w:tc>
          <w:tcPr>
            <w:tcW w:w="9300" w:type="dxa"/>
            <w:gridSpan w:val="6"/>
            <w:tcBorders>
              <w:top w:val="nil"/>
              <w:left w:val="nil"/>
              <w:bottom w:val="nil"/>
              <w:right w:val="nil"/>
            </w:tcBorders>
            <w:shd w:val="clear" w:color="auto" w:fill="auto"/>
            <w:tcMar>
              <w:top w:w="15" w:type="dxa"/>
              <w:left w:w="15" w:type="dxa"/>
              <w:right w:w="15" w:type="dxa"/>
            </w:tcMar>
            <w:vAlign w:val="center"/>
          </w:tcPr>
          <w:p>
            <w:pPr>
              <w:widowControl/>
              <w:spacing w:after="0" w:line="440" w:lineRule="exact"/>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收入支出决算总表</w:t>
            </w:r>
          </w:p>
        </w:tc>
      </w:tr>
      <w:tr>
        <w:tblPrEx>
          <w:tblCellMar>
            <w:top w:w="0" w:type="dxa"/>
            <w:left w:w="0" w:type="dxa"/>
            <w:bottom w:w="0" w:type="dxa"/>
            <w:right w:w="0" w:type="dxa"/>
          </w:tblCellMar>
        </w:tblPrEx>
        <w:trPr>
          <w:trHeight w:val="321" w:hRule="atLeast"/>
          <w:jc w:val="center"/>
        </w:trPr>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336"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43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jc w:val="right"/>
              <w:textAlignment w:val="center"/>
              <w:rPr>
                <w:rFonts w:ascii="宋体" w:hAnsi="宋体" w:cs="宋体"/>
                <w:color w:val="000000"/>
                <w:sz w:val="20"/>
                <w:szCs w:val="20"/>
              </w:rPr>
            </w:pPr>
            <w:r>
              <w:rPr>
                <w:rFonts w:hint="eastAsia" w:ascii="宋体" w:hAnsi="宋体" w:cs="宋体"/>
                <w:color w:val="000000"/>
                <w:kern w:val="0"/>
                <w:sz w:val="20"/>
                <w:szCs w:val="20"/>
              </w:rPr>
              <w:t>公开01表</w:t>
            </w:r>
          </w:p>
        </w:tc>
      </w:tr>
      <w:tr>
        <w:tblPrEx>
          <w:tblCellMar>
            <w:top w:w="0" w:type="dxa"/>
            <w:left w:w="0" w:type="dxa"/>
            <w:bottom w:w="0" w:type="dxa"/>
            <w:right w:w="0" w:type="dxa"/>
          </w:tblCellMar>
        </w:tblPrEx>
        <w:trPr>
          <w:trHeight w:val="418" w:hRule="atLeast"/>
          <w:jc w:val="center"/>
        </w:trPr>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jc w:val="left"/>
              <w:textAlignment w:val="center"/>
              <w:rPr>
                <w:rFonts w:hint="default" w:ascii="宋体" w:hAnsi="宋体" w:cs="宋体"/>
                <w:color w:val="000000"/>
                <w:kern w:val="0"/>
                <w:sz w:val="20"/>
                <w:szCs w:val="20"/>
                <w:lang w:val="en-US" w:eastAsia="zh-CN"/>
              </w:rPr>
            </w:pPr>
            <w:r>
              <w:rPr>
                <w:rFonts w:hint="eastAsia" w:ascii="宋体" w:hAnsi="宋体" w:cs="宋体"/>
                <w:color w:val="000000"/>
                <w:kern w:val="0"/>
                <w:sz w:val="20"/>
                <w:szCs w:val="20"/>
              </w:rPr>
              <w:t>部门：</w:t>
            </w:r>
            <w:r>
              <w:rPr>
                <w:rFonts w:hint="eastAsia" w:ascii="宋体" w:hAnsi="宋体" w:cs="宋体"/>
                <w:color w:val="000000"/>
                <w:kern w:val="0"/>
                <w:sz w:val="20"/>
                <w:szCs w:val="20"/>
                <w:lang w:val="en-US" w:eastAsia="zh-CN"/>
              </w:rPr>
              <w:t>廊坊市大厂回族自治县审计局（本级）</w:t>
            </w: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1336"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143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295" w:hRule="atLeast"/>
          <w:jc w:val="center"/>
        </w:trPr>
        <w:tc>
          <w:tcPr>
            <w:tcW w:w="4603"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收入</w:t>
            </w:r>
          </w:p>
        </w:tc>
        <w:tc>
          <w:tcPr>
            <w:tcW w:w="4697"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支出</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行次</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金额</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行次</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金额</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rPr>
                <w:rFonts w:ascii="宋体" w:hAnsi="宋体" w:cs="宋体"/>
                <w:color w:val="000000"/>
                <w:sz w:val="20"/>
                <w:szCs w:val="20"/>
              </w:rPr>
            </w:pP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rPr>
                <w:rFonts w:ascii="宋体" w:hAnsi="宋体" w:cs="宋体"/>
                <w:color w:val="000000"/>
                <w:sz w:val="20"/>
                <w:szCs w:val="20"/>
              </w:rPr>
            </w:pP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r>
      <w:tr>
        <w:tblPrEx>
          <w:tblCellMar>
            <w:top w:w="0" w:type="dxa"/>
            <w:left w:w="0" w:type="dxa"/>
            <w:bottom w:w="0" w:type="dxa"/>
            <w:right w:w="0" w:type="dxa"/>
          </w:tblCellMar>
        </w:tblPrEx>
        <w:trPr>
          <w:trHeight w:val="360"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一、财政拨款收入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hint="default" w:ascii="宋体" w:hAnsi="宋体" w:eastAsia="宋体" w:cs="宋体"/>
                <w:color w:val="000000"/>
                <w:sz w:val="20"/>
                <w:szCs w:val="20"/>
                <w:lang w:val="en-US" w:eastAsia="zh-CN"/>
              </w:rPr>
            </w:pPr>
            <w:r>
              <w:rPr>
                <w:rFonts w:hint="eastAsia" w:ascii="宋体" w:hAnsi="宋体" w:cs="宋体"/>
                <w:color w:val="000000"/>
                <w:sz w:val="20"/>
                <w:szCs w:val="20"/>
                <w:lang w:val="en-US" w:eastAsia="zh-CN"/>
              </w:rPr>
              <w:t>957.55</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一、一般公共服务支出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28</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hint="default" w:ascii="宋体" w:hAnsi="宋体" w:eastAsia="宋体" w:cs="宋体"/>
                <w:color w:val="000000"/>
                <w:sz w:val="20"/>
                <w:szCs w:val="20"/>
                <w:lang w:val="en-US" w:eastAsia="zh-CN"/>
              </w:rPr>
            </w:pPr>
            <w:r>
              <w:rPr>
                <w:rFonts w:hint="eastAsia" w:ascii="宋体" w:hAnsi="宋体" w:cs="宋体"/>
                <w:color w:val="000000"/>
                <w:sz w:val="20"/>
                <w:szCs w:val="20"/>
                <w:lang w:val="en-US" w:eastAsia="zh-CN"/>
              </w:rPr>
              <w:t>894.42</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二、上级补助收入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hint="default" w:ascii="宋体" w:hAnsi="宋体" w:eastAsia="宋体" w:cs="宋体"/>
                <w:color w:val="000000"/>
                <w:sz w:val="20"/>
                <w:szCs w:val="20"/>
                <w:lang w:val="en-US" w:eastAsia="zh-CN"/>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二、外交支出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29</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三、事业收入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三、国防支出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30</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四、经营收入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四、公共安全支出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31</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五、附属单位上缴收入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五、教育支出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32</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六、其他收入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6</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六、科学技术支出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33</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7</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七、文化体育与传媒支出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34</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8</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八、社会保障和就业支出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35</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hint="default" w:ascii="宋体" w:hAnsi="宋体" w:eastAsia="宋体" w:cs="宋体"/>
                <w:color w:val="000000"/>
                <w:sz w:val="20"/>
                <w:szCs w:val="20"/>
                <w:lang w:val="en-US" w:eastAsia="zh-CN"/>
              </w:rPr>
            </w:pPr>
            <w:r>
              <w:rPr>
                <w:rFonts w:hint="eastAsia" w:ascii="宋体" w:hAnsi="宋体" w:cs="宋体"/>
                <w:color w:val="000000"/>
                <w:sz w:val="20"/>
                <w:szCs w:val="20"/>
                <w:lang w:val="en-US" w:eastAsia="zh-CN"/>
              </w:rPr>
              <w:t>55.53</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9</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九、医疗卫生与计划生育支出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36</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hint="default" w:ascii="宋体" w:hAnsi="宋体" w:eastAsia="宋体" w:cs="宋体"/>
                <w:color w:val="000000"/>
                <w:sz w:val="20"/>
                <w:szCs w:val="20"/>
                <w:lang w:val="en-US" w:eastAsia="zh-CN"/>
              </w:rPr>
            </w:pPr>
            <w:r>
              <w:rPr>
                <w:rFonts w:hint="eastAsia" w:ascii="宋体" w:hAnsi="宋体" w:cs="宋体"/>
                <w:color w:val="000000"/>
                <w:sz w:val="20"/>
                <w:szCs w:val="20"/>
                <w:lang w:val="en-US" w:eastAsia="zh-CN"/>
              </w:rPr>
              <w:t>19.85</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10</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十、节能环保支出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37</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11</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十一、城乡社区支出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38</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12</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十二、农林水支出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39</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13</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十三、交通运输支出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40</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14</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十四、资源勘探信息等支出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41</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15</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十五、商业服务业等支出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42</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16</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十六、金融支出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43</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17</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十七、援助其他地区支出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44</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18</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十八、国土海洋气象等支出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45</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19</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十九、住房保障支出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46</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hint="default" w:ascii="宋体" w:hAnsi="宋体" w:eastAsia="宋体" w:cs="宋体"/>
                <w:color w:val="000000"/>
                <w:sz w:val="20"/>
                <w:szCs w:val="20"/>
                <w:lang w:val="en-US" w:eastAsia="zh-CN"/>
              </w:rPr>
            </w:pPr>
            <w:r>
              <w:rPr>
                <w:rFonts w:hint="eastAsia" w:ascii="宋体" w:hAnsi="宋体" w:cs="宋体"/>
                <w:color w:val="000000"/>
                <w:sz w:val="20"/>
                <w:szCs w:val="20"/>
                <w:lang w:val="en-US" w:eastAsia="zh-CN"/>
              </w:rPr>
              <w:t>33.32</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20</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二十、粮油物资储备支出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47</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21</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二十一、其他支出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48</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22</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二十二、债务还本支出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49</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23</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二十三、债务付息支出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50</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本年收入合计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24</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957.55</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本年支出合计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51</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hint="default" w:ascii="宋体" w:hAnsi="宋体" w:eastAsia="宋体" w:cs="宋体"/>
                <w:color w:val="000000"/>
                <w:sz w:val="20"/>
                <w:szCs w:val="20"/>
                <w:lang w:val="en-US" w:eastAsia="zh-CN"/>
              </w:rPr>
            </w:pPr>
            <w:r>
              <w:rPr>
                <w:rFonts w:hint="eastAsia" w:ascii="宋体" w:hAnsi="宋体" w:cs="宋体"/>
                <w:color w:val="000000"/>
                <w:sz w:val="20"/>
                <w:szCs w:val="20"/>
                <w:lang w:val="en-US" w:eastAsia="zh-CN"/>
              </w:rPr>
              <w:t>995.10</w:t>
            </w:r>
          </w:p>
        </w:tc>
      </w:tr>
      <w:tr>
        <w:tblPrEx>
          <w:tblCellMar>
            <w:top w:w="0" w:type="dxa"/>
            <w:left w:w="0" w:type="dxa"/>
            <w:bottom w:w="0" w:type="dxa"/>
            <w:right w:w="0" w:type="dxa"/>
          </w:tblCellMar>
        </w:tblPrEx>
        <w:trPr>
          <w:trHeight w:val="38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用事业基金弥补收支差额</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25</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18"/>
                <w:szCs w:val="18"/>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结余分配</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52</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hint="default" w:ascii="宋体" w:hAnsi="宋体" w:eastAsia="宋体" w:cs="宋体"/>
                <w:color w:val="000000"/>
                <w:sz w:val="20"/>
                <w:szCs w:val="20"/>
                <w:lang w:val="en-US" w:eastAsia="zh-CN"/>
              </w:rPr>
            </w:pPr>
            <w:r>
              <w:rPr>
                <w:rFonts w:hint="eastAsia" w:ascii="宋体" w:hAnsi="宋体" w:cs="宋体"/>
                <w:color w:val="000000"/>
                <w:sz w:val="20"/>
                <w:szCs w:val="20"/>
                <w:lang w:val="en-US" w:eastAsia="zh-CN"/>
              </w:rPr>
              <w:t>8.01</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年初结转和结余</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26</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45.56</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年末结转和结余</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53</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27</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1003.11</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54</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hint="default" w:ascii="宋体" w:hAnsi="宋体" w:eastAsia="宋体" w:cs="宋体"/>
                <w:color w:val="000000"/>
                <w:sz w:val="20"/>
                <w:szCs w:val="20"/>
                <w:lang w:val="en-US" w:eastAsia="zh-CN"/>
              </w:rPr>
            </w:pPr>
            <w:r>
              <w:rPr>
                <w:rFonts w:hint="eastAsia" w:ascii="宋体" w:hAnsi="宋体" w:cs="宋体"/>
                <w:color w:val="000000"/>
                <w:sz w:val="20"/>
                <w:szCs w:val="20"/>
                <w:lang w:val="en-US" w:eastAsia="zh-CN"/>
              </w:rPr>
              <w:t>1003.11</w:t>
            </w:r>
          </w:p>
        </w:tc>
      </w:tr>
      <w:tr>
        <w:tblPrEx>
          <w:tblCellMar>
            <w:top w:w="0" w:type="dxa"/>
            <w:left w:w="0" w:type="dxa"/>
            <w:bottom w:w="0" w:type="dxa"/>
            <w:right w:w="0" w:type="dxa"/>
          </w:tblCellMar>
        </w:tblPrEx>
        <w:trPr>
          <w:trHeight w:val="417" w:hRule="atLeast"/>
          <w:jc w:val="center"/>
        </w:trPr>
        <w:tc>
          <w:tcPr>
            <w:tcW w:w="9300" w:type="dxa"/>
            <w:gridSpan w:val="6"/>
            <w:tcBorders>
              <w:top w:val="nil"/>
              <w:left w:val="nil"/>
              <w:bottom w:val="nil"/>
              <w:right w:val="nil"/>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Cs w:val="21"/>
              </w:rPr>
            </w:pPr>
            <w:r>
              <w:rPr>
                <w:rFonts w:hint="eastAsia" w:ascii="宋体" w:hAnsi="宋体" w:cs="宋体"/>
                <w:color w:val="000000"/>
                <w:kern w:val="0"/>
                <w:szCs w:val="21"/>
              </w:rPr>
              <w:t>注：本表反映部门本年度的总收支和年末结转结余情况。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jc w:val="center"/>
        <w:tblLayout w:type="fixed"/>
        <w:tblCellMar>
          <w:top w:w="0" w:type="dxa"/>
          <w:left w:w="0" w:type="dxa"/>
          <w:bottom w:w="0" w:type="dxa"/>
          <w:right w:w="0" w:type="dxa"/>
        </w:tblCellMar>
      </w:tblPr>
      <w:tblGrid>
        <w:gridCol w:w="335"/>
        <w:gridCol w:w="179"/>
        <w:gridCol w:w="520"/>
        <w:gridCol w:w="1318"/>
        <w:gridCol w:w="533"/>
        <w:gridCol w:w="260"/>
        <w:gridCol w:w="127"/>
        <w:gridCol w:w="688"/>
        <w:gridCol w:w="232"/>
        <w:gridCol w:w="584"/>
        <w:gridCol w:w="337"/>
        <w:gridCol w:w="478"/>
        <w:gridCol w:w="442"/>
        <w:gridCol w:w="373"/>
        <w:gridCol w:w="548"/>
        <w:gridCol w:w="920"/>
        <w:gridCol w:w="926"/>
      </w:tblGrid>
      <w:tr>
        <w:tblPrEx>
          <w:tblCellMar>
            <w:top w:w="0" w:type="dxa"/>
            <w:left w:w="0" w:type="dxa"/>
            <w:bottom w:w="0" w:type="dxa"/>
            <w:right w:w="0" w:type="dxa"/>
          </w:tblCellMar>
        </w:tblPrEx>
        <w:trPr>
          <w:trHeight w:val="770" w:hRule="atLeast"/>
          <w:jc w:val="center"/>
        </w:trPr>
        <w:tc>
          <w:tcPr>
            <w:tcW w:w="8800" w:type="dxa"/>
            <w:gridSpan w:val="17"/>
            <w:tcBorders>
              <w:top w:val="nil"/>
              <w:left w:val="nil"/>
              <w:bottom w:val="nil"/>
              <w:right w:val="nil"/>
            </w:tcBorders>
            <w:shd w:val="clear" w:color="auto" w:fill="auto"/>
            <w:noWrap/>
            <w:tcMar>
              <w:top w:w="15" w:type="dxa"/>
              <w:left w:w="15" w:type="dxa"/>
              <w:right w:w="15" w:type="dxa"/>
            </w:tcMar>
            <w:vAlign w:val="bottom"/>
          </w:tcPr>
          <w:p>
            <w:pPr>
              <w:widowControl/>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收入决算表</w:t>
            </w:r>
          </w:p>
        </w:tc>
      </w:tr>
      <w:tr>
        <w:tblPrEx>
          <w:tblCellMar>
            <w:top w:w="0" w:type="dxa"/>
            <w:left w:w="0" w:type="dxa"/>
            <w:bottom w:w="0" w:type="dxa"/>
            <w:right w:w="0" w:type="dxa"/>
          </w:tblCellMar>
        </w:tblPrEx>
        <w:trPr>
          <w:trHeight w:val="362" w:hRule="atLeast"/>
          <w:jc w:val="center"/>
        </w:trPr>
        <w:tc>
          <w:tcPr>
            <w:tcW w:w="335"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79"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52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318"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533"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6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6"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394" w:type="dxa"/>
            <w:gridSpan w:val="3"/>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公开02表</w:t>
            </w:r>
          </w:p>
        </w:tc>
      </w:tr>
      <w:tr>
        <w:tblPrEx>
          <w:tblCellMar>
            <w:top w:w="0" w:type="dxa"/>
            <w:left w:w="0" w:type="dxa"/>
            <w:bottom w:w="0" w:type="dxa"/>
            <w:right w:w="0" w:type="dxa"/>
          </w:tblCellMar>
        </w:tblPrEx>
        <w:trPr>
          <w:trHeight w:val="362" w:hRule="atLeast"/>
          <w:jc w:val="center"/>
        </w:trPr>
        <w:tc>
          <w:tcPr>
            <w:tcW w:w="2885" w:type="dxa"/>
            <w:gridSpan w:val="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rPr>
              <w:t>部门：</w:t>
            </w:r>
            <w:r>
              <w:rPr>
                <w:rFonts w:hint="eastAsia" w:ascii="宋体" w:hAnsi="宋体" w:cs="宋体"/>
                <w:color w:val="000000"/>
                <w:kern w:val="0"/>
                <w:sz w:val="20"/>
                <w:szCs w:val="20"/>
                <w:lang w:val="en-US" w:eastAsia="zh-CN"/>
              </w:rPr>
              <w:t>廊坊市大厂回族自治县审计局（本级）</w:t>
            </w:r>
          </w:p>
        </w:tc>
        <w:tc>
          <w:tcPr>
            <w:tcW w:w="26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6"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394" w:type="dxa"/>
            <w:gridSpan w:val="3"/>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25" w:hRule="atLeast"/>
          <w:jc w:val="center"/>
        </w:trPr>
        <w:tc>
          <w:tcPr>
            <w:tcW w:w="2352" w:type="dxa"/>
            <w:gridSpan w:val="4"/>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项目</w:t>
            </w:r>
          </w:p>
        </w:tc>
        <w:tc>
          <w:tcPr>
            <w:tcW w:w="920" w:type="dxa"/>
            <w:gridSpan w:val="3"/>
            <w:vMerge w:val="restart"/>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本年收入合计</w:t>
            </w:r>
          </w:p>
        </w:tc>
        <w:tc>
          <w:tcPr>
            <w:tcW w:w="920"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财政拨款收入</w:t>
            </w:r>
          </w:p>
        </w:tc>
        <w:tc>
          <w:tcPr>
            <w:tcW w:w="921"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上级补助收入</w:t>
            </w:r>
          </w:p>
        </w:tc>
        <w:tc>
          <w:tcPr>
            <w:tcW w:w="920"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事业收入</w:t>
            </w:r>
          </w:p>
        </w:tc>
        <w:tc>
          <w:tcPr>
            <w:tcW w:w="921"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经营收入</w:t>
            </w:r>
          </w:p>
        </w:tc>
        <w:tc>
          <w:tcPr>
            <w:tcW w:w="920" w:type="dxa"/>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附属单位上缴收入</w:t>
            </w:r>
          </w:p>
        </w:tc>
        <w:tc>
          <w:tcPr>
            <w:tcW w:w="926" w:type="dxa"/>
            <w:vMerge w:val="restar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其他收入</w:t>
            </w:r>
          </w:p>
        </w:tc>
      </w:tr>
      <w:tr>
        <w:tblPrEx>
          <w:tblCellMar>
            <w:top w:w="0" w:type="dxa"/>
            <w:left w:w="0" w:type="dxa"/>
            <w:bottom w:w="0" w:type="dxa"/>
            <w:right w:w="0" w:type="dxa"/>
          </w:tblCellMar>
        </w:tblPrEx>
        <w:trPr>
          <w:trHeight w:val="626"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功能分类科目编码</w:t>
            </w:r>
          </w:p>
        </w:tc>
        <w:tc>
          <w:tcPr>
            <w:tcW w:w="1318" w:type="dxa"/>
            <w:tcBorders>
              <w:top w:val="nil"/>
              <w:left w:val="nil"/>
              <w:bottom w:val="single" w:color="000000"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科目名称</w:t>
            </w:r>
          </w:p>
        </w:tc>
        <w:tc>
          <w:tcPr>
            <w:tcW w:w="920" w:type="dxa"/>
            <w:gridSpan w:val="3"/>
            <w:vMerge w:val="continue"/>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 w:val="20"/>
                <w:szCs w:val="20"/>
              </w:rPr>
            </w:pPr>
          </w:p>
        </w:tc>
        <w:tc>
          <w:tcPr>
            <w:tcW w:w="920"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1"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0"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1"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0" w:type="dxa"/>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6" w:type="dxa"/>
            <w:vMerge w:val="continue"/>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r>
      <w:tr>
        <w:tblPrEx>
          <w:tblCellMar>
            <w:top w:w="0" w:type="dxa"/>
            <w:left w:w="0" w:type="dxa"/>
            <w:bottom w:w="0" w:type="dxa"/>
            <w:right w:w="0" w:type="dxa"/>
          </w:tblCellMar>
        </w:tblPrEx>
        <w:trPr>
          <w:trHeight w:val="391" w:hRule="atLeast"/>
          <w:jc w:val="center"/>
        </w:trPr>
        <w:tc>
          <w:tcPr>
            <w:tcW w:w="235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92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9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92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9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c>
          <w:tcPr>
            <w:tcW w:w="92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w:t>
            </w:r>
          </w:p>
        </w:tc>
        <w:tc>
          <w:tcPr>
            <w:tcW w:w="9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6</w:t>
            </w: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7</w:t>
            </w:r>
          </w:p>
        </w:tc>
      </w:tr>
      <w:tr>
        <w:tblPrEx>
          <w:tblCellMar>
            <w:top w:w="0" w:type="dxa"/>
            <w:left w:w="0" w:type="dxa"/>
            <w:bottom w:w="0" w:type="dxa"/>
            <w:right w:w="0" w:type="dxa"/>
          </w:tblCellMar>
        </w:tblPrEx>
        <w:trPr>
          <w:trHeight w:val="90" w:hRule="atLeast"/>
          <w:jc w:val="center"/>
        </w:trPr>
        <w:tc>
          <w:tcPr>
            <w:tcW w:w="235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合计</w:t>
            </w:r>
          </w:p>
        </w:tc>
        <w:tc>
          <w:tcPr>
            <w:tcW w:w="920" w:type="dxa"/>
            <w:gridSpan w:val="3"/>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tabs>
                <w:tab w:val="left" w:pos="266"/>
              </w:tabs>
              <w:spacing w:after="0" w:line="240" w:lineRule="atLeast"/>
              <w:jc w:val="left"/>
              <w:rPr>
                <w:rFonts w:hint="eastAsia" w:ascii="宋体" w:hAnsi="宋体" w:eastAsia="宋体" w:cs="宋体"/>
                <w:b/>
                <w:color w:val="000000"/>
                <w:sz w:val="18"/>
                <w:szCs w:val="18"/>
                <w:lang w:eastAsia="zh-CN"/>
              </w:rPr>
            </w:pPr>
            <w:r>
              <w:rPr>
                <w:rFonts w:hint="eastAsia" w:ascii="宋体" w:hAnsi="宋体" w:cs="宋体"/>
                <w:b/>
                <w:color w:val="000000"/>
                <w:sz w:val="18"/>
                <w:szCs w:val="18"/>
                <w:lang w:eastAsia="zh-CN"/>
              </w:rPr>
              <w:tab/>
            </w:r>
            <w:r>
              <w:rPr>
                <w:rFonts w:hint="eastAsia" w:ascii="宋体" w:hAnsi="宋体" w:cs="宋体"/>
                <w:b/>
                <w:color w:val="000000"/>
                <w:sz w:val="18"/>
                <w:szCs w:val="18"/>
                <w:lang w:val="en-US" w:eastAsia="zh-CN"/>
              </w:rPr>
              <w:t>957.55</w:t>
            </w:r>
          </w:p>
        </w:tc>
        <w:tc>
          <w:tcPr>
            <w:tcW w:w="920"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b/>
                <w:color w:val="000000"/>
                <w:sz w:val="18"/>
                <w:szCs w:val="18"/>
                <w:lang w:val="en-US" w:eastAsia="zh-CN"/>
              </w:rPr>
            </w:pPr>
            <w:r>
              <w:rPr>
                <w:rFonts w:hint="eastAsia" w:ascii="宋体" w:hAnsi="宋体" w:cs="宋体"/>
                <w:b/>
                <w:color w:val="000000"/>
                <w:sz w:val="18"/>
                <w:szCs w:val="18"/>
                <w:lang w:val="en-US" w:eastAsia="zh-CN"/>
              </w:rPr>
              <w:t>957.55</w:t>
            </w:r>
          </w:p>
        </w:tc>
        <w:tc>
          <w:tcPr>
            <w:tcW w:w="921"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920"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921"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92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926"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ind w:firstLine="420" w:firstLineChars="200"/>
              <w:jc w:val="both"/>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201</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一般公共服务支出</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lang w:val="en-US" w:eastAsia="zh-CN"/>
              </w:rPr>
              <w:t>848.85</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848.85</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20108</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审计事务</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lang w:val="en-US" w:eastAsia="zh-CN"/>
              </w:rPr>
              <w:t>848.85</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lang w:val="en-US" w:eastAsia="zh-CN"/>
              </w:rPr>
              <w:t>848.85</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96"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2010801</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eastAsia" w:ascii="宋体" w:hAnsi="宋体" w:eastAsia="宋体" w:cs="宋体"/>
                <w:color w:val="000000"/>
                <w:szCs w:val="21"/>
                <w:lang w:val="en-US" w:eastAsia="zh-CN"/>
              </w:rPr>
            </w:pPr>
            <w:r>
              <w:rPr>
                <w:rFonts w:hint="eastAsia" w:ascii="宋体" w:hAnsi="宋体" w:cs="宋体"/>
                <w:color w:val="000000"/>
                <w:szCs w:val="21"/>
                <w:lang w:val="en-US" w:eastAsia="zh-CN"/>
              </w:rPr>
              <w:t>行政运行</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592.19</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lang w:val="en-US" w:eastAsia="zh-CN"/>
              </w:rPr>
              <w:t>592.19</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2010804</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审计业务</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230.90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tabs>
                <w:tab w:val="left" w:pos="397"/>
              </w:tabs>
              <w:spacing w:after="0" w:line="240" w:lineRule="atLeast"/>
              <w:jc w:val="center"/>
              <w:rPr>
                <w:rFonts w:hint="eastAsia" w:ascii="宋体" w:hAnsi="宋体" w:eastAsia="宋体" w:cs="宋体"/>
                <w:color w:val="000000"/>
                <w:szCs w:val="21"/>
                <w:lang w:eastAsia="zh-CN"/>
              </w:rPr>
            </w:pPr>
            <w:r>
              <w:rPr>
                <w:rFonts w:hint="eastAsia" w:ascii="宋体" w:hAnsi="宋体" w:cs="宋体"/>
                <w:color w:val="000000"/>
                <w:szCs w:val="21"/>
                <w:lang w:val="en-US" w:eastAsia="zh-CN"/>
              </w:rPr>
              <w:t>230.90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2010805</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审计管理</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3.50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cs="宋体"/>
                <w:color w:val="000000"/>
                <w:szCs w:val="21"/>
                <w:lang w:val="en-US"/>
              </w:rPr>
            </w:pPr>
            <w:r>
              <w:rPr>
                <w:rFonts w:hint="eastAsia" w:ascii="宋体" w:hAnsi="宋体" w:cs="宋体"/>
                <w:color w:val="000000"/>
                <w:szCs w:val="21"/>
                <w:lang w:val="en-US" w:eastAsia="zh-CN"/>
              </w:rPr>
              <w:t>3.50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2010899</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其他审计事务支出</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22.26</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22.26</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208</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社会保障和就业支出</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55.53</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55.53</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20805</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行政事业单位离退休</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55.53</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55.53</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2080505</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机关事业单位基本养老保险缴费支出</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55.53</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55.53</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210</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医疗卫生与计划生育支出</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19.85</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19.85</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21011</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行政事业单位医疗</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19.85</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19.85</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2101101</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行政单位医疗</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19.85</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19.85</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221</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住房保障支出</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33.32</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33.32</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6"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22102</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住房改革支出</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tabs>
                <w:tab w:val="left" w:pos="416"/>
              </w:tabs>
              <w:spacing w:after="0" w:line="240" w:lineRule="atLeast"/>
              <w:jc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33.32</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33.32</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2210201</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住房公积金</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33.32</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33.32</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81" w:hRule="atLeast"/>
          <w:jc w:val="center"/>
        </w:trPr>
        <w:tc>
          <w:tcPr>
            <w:tcW w:w="8800" w:type="dxa"/>
            <w:gridSpan w:val="17"/>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注：本表反映部门本年度取得的各项收入情况。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020" w:left="1588" w:header="851" w:footer="992" w:gutter="0"/>
          <w:cols w:space="0" w:num="1"/>
          <w:docGrid w:type="lines" w:linePitch="312" w:charSpace="0"/>
        </w:sectPr>
      </w:pPr>
    </w:p>
    <w:tbl>
      <w:tblPr>
        <w:tblStyle w:val="12"/>
        <w:tblW w:w="9000" w:type="dxa"/>
        <w:tblInd w:w="0" w:type="dxa"/>
        <w:tblLayout w:type="fixed"/>
        <w:tblCellMar>
          <w:top w:w="0" w:type="dxa"/>
          <w:left w:w="0" w:type="dxa"/>
          <w:bottom w:w="0" w:type="dxa"/>
          <w:right w:w="0" w:type="dxa"/>
        </w:tblCellMar>
      </w:tblPr>
      <w:tblGrid>
        <w:gridCol w:w="290"/>
        <w:gridCol w:w="289"/>
        <w:gridCol w:w="581"/>
        <w:gridCol w:w="1460"/>
        <w:gridCol w:w="526"/>
        <w:gridCol w:w="436"/>
        <w:gridCol w:w="682"/>
        <w:gridCol w:w="402"/>
        <w:gridCol w:w="718"/>
        <w:gridCol w:w="365"/>
        <w:gridCol w:w="753"/>
        <w:gridCol w:w="331"/>
        <w:gridCol w:w="789"/>
        <w:gridCol w:w="294"/>
        <w:gridCol w:w="1084"/>
      </w:tblGrid>
      <w:tr>
        <w:tblPrEx>
          <w:tblCellMar>
            <w:top w:w="0" w:type="dxa"/>
            <w:left w:w="0" w:type="dxa"/>
            <w:bottom w:w="0" w:type="dxa"/>
            <w:right w:w="0" w:type="dxa"/>
          </w:tblCellMar>
        </w:tblPrEx>
        <w:trPr>
          <w:trHeight w:val="798" w:hRule="atLeast"/>
        </w:trPr>
        <w:tc>
          <w:tcPr>
            <w:tcW w:w="9000" w:type="dxa"/>
            <w:gridSpan w:val="1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center"/>
              <w:rPr>
                <w:rFonts w:ascii="黑体" w:hAnsi="宋体" w:eastAsia="黑体" w:cs="黑体"/>
                <w:color w:val="000000"/>
                <w:sz w:val="40"/>
                <w:szCs w:val="40"/>
              </w:rPr>
            </w:pPr>
            <w:r>
              <w:rPr>
                <w:rFonts w:hint="eastAsia" w:ascii="黑体" w:hAnsi="宋体" w:eastAsia="黑体" w:cs="黑体"/>
                <w:color w:val="000000"/>
                <w:kern w:val="0"/>
                <w:sz w:val="40"/>
                <w:szCs w:val="40"/>
              </w:rPr>
              <w:t>支出决算表</w:t>
            </w:r>
          </w:p>
        </w:tc>
      </w:tr>
      <w:tr>
        <w:tblPrEx>
          <w:tblCellMar>
            <w:top w:w="0" w:type="dxa"/>
            <w:left w:w="0" w:type="dxa"/>
            <w:bottom w:w="0" w:type="dxa"/>
            <w:right w:w="0" w:type="dxa"/>
          </w:tblCellMar>
        </w:tblPrEx>
        <w:trPr>
          <w:trHeight w:val="404" w:hRule="atLeast"/>
        </w:trPr>
        <w:tc>
          <w:tcPr>
            <w:tcW w:w="29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89"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581"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46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526"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37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公开03表</w:t>
            </w:r>
          </w:p>
        </w:tc>
      </w:tr>
      <w:tr>
        <w:tblPrEx>
          <w:tblCellMar>
            <w:top w:w="0" w:type="dxa"/>
            <w:left w:w="0" w:type="dxa"/>
            <w:bottom w:w="0" w:type="dxa"/>
            <w:right w:w="0" w:type="dxa"/>
          </w:tblCellMar>
        </w:tblPrEx>
        <w:trPr>
          <w:trHeight w:val="380" w:hRule="atLeast"/>
        </w:trPr>
        <w:tc>
          <w:tcPr>
            <w:tcW w:w="3146" w:type="dxa"/>
            <w:gridSpan w:val="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部门：</w:t>
            </w:r>
            <w:r>
              <w:rPr>
                <w:rFonts w:hint="eastAsia" w:ascii="宋体" w:hAnsi="宋体" w:cs="宋体"/>
                <w:color w:val="000000"/>
                <w:kern w:val="0"/>
                <w:sz w:val="20"/>
                <w:szCs w:val="20"/>
                <w:lang w:val="en-US" w:eastAsia="zh-CN"/>
              </w:rPr>
              <w:t>廊坊市大厂回族自治县审计局（本级）</w:t>
            </w:r>
          </w:p>
        </w:tc>
        <w:tc>
          <w:tcPr>
            <w:tcW w:w="111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498" w:type="dxa"/>
            <w:gridSpan w:val="4"/>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837" w:hRule="atLeast"/>
        </w:trPr>
        <w:tc>
          <w:tcPr>
            <w:tcW w:w="2620"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962" w:type="dxa"/>
            <w:gridSpan w:val="2"/>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本年支出合计</w:t>
            </w:r>
          </w:p>
        </w:tc>
        <w:tc>
          <w:tcPr>
            <w:tcW w:w="1084" w:type="dxa"/>
            <w:gridSpan w:val="2"/>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1083" w:type="dxa"/>
            <w:gridSpan w:val="2"/>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项目支出</w:t>
            </w:r>
          </w:p>
        </w:tc>
        <w:tc>
          <w:tcPr>
            <w:tcW w:w="1084" w:type="dxa"/>
            <w:gridSpan w:val="2"/>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上缴上级支出</w:t>
            </w:r>
          </w:p>
        </w:tc>
        <w:tc>
          <w:tcPr>
            <w:tcW w:w="1083" w:type="dxa"/>
            <w:gridSpan w:val="2"/>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经营支出</w:t>
            </w:r>
          </w:p>
        </w:tc>
        <w:tc>
          <w:tcPr>
            <w:tcW w:w="1084" w:type="dxa"/>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对附属单位补助支出</w:t>
            </w:r>
          </w:p>
        </w:tc>
      </w:tr>
      <w:tr>
        <w:tblPrEx>
          <w:tblCellMar>
            <w:top w:w="0" w:type="dxa"/>
            <w:left w:w="0" w:type="dxa"/>
            <w:bottom w:w="0" w:type="dxa"/>
            <w:right w:w="0" w:type="dxa"/>
          </w:tblCellMar>
        </w:tblPrEx>
        <w:trPr>
          <w:trHeight w:val="782" w:hRule="atLeast"/>
        </w:trPr>
        <w:tc>
          <w:tcPr>
            <w:tcW w:w="1160"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14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962" w:type="dxa"/>
            <w:gridSpan w:val="2"/>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4" w:type="dxa"/>
            <w:gridSpan w:val="2"/>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3" w:type="dxa"/>
            <w:gridSpan w:val="2"/>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4" w:type="dxa"/>
            <w:gridSpan w:val="2"/>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3" w:type="dxa"/>
            <w:gridSpan w:val="2"/>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4" w:type="dxa"/>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95" w:hRule="atLeast"/>
        </w:trPr>
        <w:tc>
          <w:tcPr>
            <w:tcW w:w="2620"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96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440" w:hRule="atLeast"/>
        </w:trPr>
        <w:tc>
          <w:tcPr>
            <w:tcW w:w="2620"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96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b/>
                <w:color w:val="000000"/>
                <w:szCs w:val="21"/>
              </w:rPr>
            </w:pPr>
            <w:r>
              <w:rPr>
                <w:rFonts w:hint="eastAsia" w:ascii="宋体" w:hAnsi="宋体" w:cs="宋体"/>
                <w:color w:val="000000"/>
                <w:szCs w:val="21"/>
                <w:lang w:val="en-US" w:eastAsia="zh-CN"/>
              </w:rPr>
              <w:t>995.10</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b/>
                <w:color w:val="000000"/>
                <w:szCs w:val="21"/>
                <w:lang w:val="en-US" w:eastAsia="zh-CN"/>
              </w:rPr>
            </w:pPr>
            <w:r>
              <w:rPr>
                <w:rFonts w:hint="eastAsia" w:ascii="宋体" w:hAnsi="宋体" w:cs="宋体"/>
                <w:b/>
                <w:color w:val="000000"/>
                <w:szCs w:val="21"/>
                <w:lang w:val="en-US" w:eastAsia="zh-CN"/>
              </w:rPr>
              <w:t>700.08</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b/>
                <w:color w:val="000000"/>
                <w:szCs w:val="21"/>
                <w:lang w:val="en-US" w:eastAsia="zh-CN"/>
              </w:rPr>
            </w:pPr>
            <w:r>
              <w:rPr>
                <w:rFonts w:hint="eastAsia" w:ascii="宋体" w:hAnsi="宋体" w:cs="宋体"/>
                <w:b/>
                <w:color w:val="000000"/>
                <w:szCs w:val="21"/>
                <w:lang w:val="en-US" w:eastAsia="zh-CN"/>
              </w:rPr>
              <w:t>295.02</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r>
      <w:tr>
        <w:tblPrEx>
          <w:tblCellMar>
            <w:top w:w="0" w:type="dxa"/>
            <w:left w:w="0" w:type="dxa"/>
            <w:bottom w:w="0" w:type="dxa"/>
            <w:right w:w="0" w:type="dxa"/>
          </w:tblCellMar>
        </w:tblPrEx>
        <w:trPr>
          <w:trHeight w:val="625" w:hRule="atLeast"/>
        </w:trPr>
        <w:tc>
          <w:tcPr>
            <w:tcW w:w="116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ind w:firstLine="420" w:firstLineChars="200"/>
              <w:jc w:val="both"/>
              <w:rPr>
                <w:rFonts w:ascii="宋体" w:hAnsi="宋体" w:cs="宋体"/>
                <w:color w:val="000000"/>
                <w:szCs w:val="21"/>
              </w:rPr>
            </w:pPr>
            <w:r>
              <w:rPr>
                <w:rFonts w:hint="eastAsia" w:ascii="宋体" w:hAnsi="宋体" w:cs="宋体"/>
                <w:color w:val="000000"/>
                <w:szCs w:val="21"/>
                <w:lang w:val="en-US" w:eastAsia="zh-CN"/>
              </w:rPr>
              <w:t>201</w:t>
            </w:r>
          </w:p>
        </w:tc>
        <w:tc>
          <w:tcPr>
            <w:tcW w:w="14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lang w:val="en-US" w:eastAsia="zh-CN"/>
              </w:rPr>
              <w:t>一般公共服务支出</w:t>
            </w:r>
          </w:p>
        </w:tc>
        <w:tc>
          <w:tcPr>
            <w:tcW w:w="96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886.40</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611.62</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274.78</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16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lang w:val="en-US" w:eastAsia="zh-CN"/>
              </w:rPr>
              <w:t>20108</w:t>
            </w:r>
          </w:p>
        </w:tc>
        <w:tc>
          <w:tcPr>
            <w:tcW w:w="14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lang w:val="en-US" w:eastAsia="zh-CN"/>
              </w:rPr>
              <w:t>审计事务</w:t>
            </w:r>
          </w:p>
        </w:tc>
        <w:tc>
          <w:tcPr>
            <w:tcW w:w="96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cs="宋体"/>
                <w:color w:val="000000"/>
                <w:szCs w:val="21"/>
                <w:lang w:val="en-US" w:eastAsia="zh-CN"/>
              </w:rPr>
            </w:pPr>
            <w:r>
              <w:rPr>
                <w:rFonts w:hint="eastAsia" w:ascii="宋体" w:hAnsi="宋体" w:cs="宋体"/>
                <w:color w:val="000000"/>
                <w:szCs w:val="21"/>
                <w:lang w:val="en-US" w:eastAsia="zh-CN"/>
              </w:rPr>
              <w:t>886.40</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611.62</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274.78</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16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lang w:val="en-US" w:eastAsia="zh-CN"/>
              </w:rPr>
              <w:t>2010801</w:t>
            </w:r>
          </w:p>
        </w:tc>
        <w:tc>
          <w:tcPr>
            <w:tcW w:w="14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lang w:val="en-US" w:eastAsia="zh-CN"/>
              </w:rPr>
              <w:t>行政运行</w:t>
            </w:r>
          </w:p>
        </w:tc>
        <w:tc>
          <w:tcPr>
            <w:tcW w:w="96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591.38</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lang w:val="en-US" w:eastAsia="zh-CN"/>
              </w:rPr>
              <w:t>591.38</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90" w:hRule="atLeast"/>
        </w:trPr>
        <w:tc>
          <w:tcPr>
            <w:tcW w:w="116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lang w:val="en-US" w:eastAsia="zh-CN"/>
              </w:rPr>
              <w:t>2010804</w:t>
            </w:r>
          </w:p>
        </w:tc>
        <w:tc>
          <w:tcPr>
            <w:tcW w:w="14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lang w:val="en-US" w:eastAsia="zh-CN"/>
              </w:rPr>
              <w:t>审计业务</w:t>
            </w:r>
          </w:p>
        </w:tc>
        <w:tc>
          <w:tcPr>
            <w:tcW w:w="96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264.60</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lang w:val="en-US" w:eastAsia="zh-CN"/>
              </w:rPr>
              <w:t>264.60</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16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lang w:val="en-US" w:eastAsia="zh-CN"/>
              </w:rPr>
              <w:t>2010805</w:t>
            </w:r>
          </w:p>
        </w:tc>
        <w:tc>
          <w:tcPr>
            <w:tcW w:w="14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lang w:val="en-US" w:eastAsia="zh-CN"/>
              </w:rPr>
              <w:t>审计管理</w:t>
            </w:r>
          </w:p>
        </w:tc>
        <w:tc>
          <w:tcPr>
            <w:tcW w:w="96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8.50</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lang w:val="en-US" w:eastAsia="zh-CN"/>
              </w:rPr>
              <w:t>8.50</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30" w:hRule="atLeast"/>
        </w:trPr>
        <w:tc>
          <w:tcPr>
            <w:tcW w:w="116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cs="宋体"/>
                <w:color w:val="000000"/>
                <w:szCs w:val="21"/>
                <w:lang w:val="en-US" w:eastAsia="zh-CN"/>
              </w:rPr>
            </w:pPr>
            <w:r>
              <w:rPr>
                <w:rFonts w:hint="eastAsia" w:ascii="宋体" w:hAnsi="宋体" w:cs="宋体"/>
                <w:color w:val="000000"/>
                <w:szCs w:val="21"/>
                <w:lang w:val="en-US" w:eastAsia="zh-CN"/>
              </w:rPr>
              <w:t>2010806</w:t>
            </w:r>
          </w:p>
        </w:tc>
        <w:tc>
          <w:tcPr>
            <w:tcW w:w="14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cs="宋体"/>
                <w:color w:val="000000"/>
                <w:szCs w:val="21"/>
                <w:lang w:val="en-US" w:eastAsia="zh-CN"/>
              </w:rPr>
            </w:pPr>
            <w:r>
              <w:rPr>
                <w:rFonts w:hint="eastAsia" w:ascii="宋体" w:hAnsi="宋体" w:cs="宋体"/>
                <w:color w:val="000000"/>
                <w:szCs w:val="21"/>
                <w:lang w:val="en-US" w:eastAsia="zh-CN"/>
              </w:rPr>
              <w:t>信息化建设</w:t>
            </w:r>
          </w:p>
        </w:tc>
        <w:tc>
          <w:tcPr>
            <w:tcW w:w="96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1.68</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lang w:val="en-US" w:eastAsia="zh-CN"/>
              </w:rPr>
              <w:t>1.68</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587" w:hRule="atLeast"/>
        </w:trPr>
        <w:tc>
          <w:tcPr>
            <w:tcW w:w="116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lang w:val="en-US" w:eastAsia="zh-CN"/>
              </w:rPr>
              <w:t>2010899</w:t>
            </w:r>
          </w:p>
        </w:tc>
        <w:tc>
          <w:tcPr>
            <w:tcW w:w="14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lang w:val="en-US" w:eastAsia="zh-CN"/>
              </w:rPr>
              <w:t>其他审计事务支出</w:t>
            </w:r>
          </w:p>
        </w:tc>
        <w:tc>
          <w:tcPr>
            <w:tcW w:w="96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20.24</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lang w:val="en-US" w:eastAsia="zh-CN"/>
              </w:rPr>
              <w:t>20.24</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16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lang w:val="en-US" w:eastAsia="zh-CN"/>
              </w:rPr>
              <w:t>208</w:t>
            </w:r>
          </w:p>
        </w:tc>
        <w:tc>
          <w:tcPr>
            <w:tcW w:w="14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lang w:val="en-US" w:eastAsia="zh-CN"/>
              </w:rPr>
              <w:t>社会保障和就业支出</w:t>
            </w:r>
          </w:p>
        </w:tc>
        <w:tc>
          <w:tcPr>
            <w:tcW w:w="96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55.53</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lang w:val="en-US" w:eastAsia="zh-CN"/>
              </w:rPr>
              <w:t>55.53</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16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lang w:val="en-US" w:eastAsia="zh-CN"/>
              </w:rPr>
              <w:t>20805</w:t>
            </w:r>
          </w:p>
        </w:tc>
        <w:tc>
          <w:tcPr>
            <w:tcW w:w="14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lang w:val="en-US" w:eastAsia="zh-CN"/>
              </w:rPr>
              <w:t>行政事业单位离退休</w:t>
            </w:r>
          </w:p>
        </w:tc>
        <w:tc>
          <w:tcPr>
            <w:tcW w:w="96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55.53</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lang w:val="en-US" w:eastAsia="zh-CN"/>
              </w:rPr>
              <w:t>55.53</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16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lang w:val="en-US" w:eastAsia="zh-CN"/>
              </w:rPr>
              <w:t>2080505</w:t>
            </w:r>
          </w:p>
        </w:tc>
        <w:tc>
          <w:tcPr>
            <w:tcW w:w="14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lang w:val="en-US" w:eastAsia="zh-CN"/>
              </w:rPr>
              <w:t>机关事业单位基本养老保险缴费支出</w:t>
            </w:r>
          </w:p>
        </w:tc>
        <w:tc>
          <w:tcPr>
            <w:tcW w:w="96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55.53</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lang w:val="en-US" w:eastAsia="zh-CN"/>
              </w:rPr>
              <w:t>55.53</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16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lang w:val="en-US" w:eastAsia="zh-CN"/>
              </w:rPr>
              <w:t>210</w:t>
            </w:r>
          </w:p>
        </w:tc>
        <w:tc>
          <w:tcPr>
            <w:tcW w:w="14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lang w:val="en-US" w:eastAsia="zh-CN"/>
              </w:rPr>
              <w:t>医疗卫生与计划生育支出</w:t>
            </w:r>
          </w:p>
        </w:tc>
        <w:tc>
          <w:tcPr>
            <w:tcW w:w="96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19.85</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lang w:val="en-US" w:eastAsia="zh-CN"/>
              </w:rPr>
              <w:t>19.85</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16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lang w:val="en-US" w:eastAsia="zh-CN"/>
              </w:rPr>
              <w:t>21011</w:t>
            </w:r>
          </w:p>
        </w:tc>
        <w:tc>
          <w:tcPr>
            <w:tcW w:w="14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lang w:val="en-US" w:eastAsia="zh-CN"/>
              </w:rPr>
              <w:t>行政事业单位医疗</w:t>
            </w:r>
          </w:p>
        </w:tc>
        <w:tc>
          <w:tcPr>
            <w:tcW w:w="96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19.85</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lang w:val="en-US" w:eastAsia="zh-CN"/>
              </w:rPr>
              <w:t>19.85</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16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lang w:val="en-US" w:eastAsia="zh-CN"/>
              </w:rPr>
              <w:t>2101101</w:t>
            </w:r>
          </w:p>
        </w:tc>
        <w:tc>
          <w:tcPr>
            <w:tcW w:w="14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lang w:val="en-US" w:eastAsia="zh-CN"/>
              </w:rPr>
              <w:t>行政单位医疗</w:t>
            </w:r>
          </w:p>
        </w:tc>
        <w:tc>
          <w:tcPr>
            <w:tcW w:w="96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19.85</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lang w:val="en-US" w:eastAsia="zh-CN"/>
              </w:rPr>
              <w:t>19.85</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16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lang w:val="en-US" w:eastAsia="zh-CN"/>
              </w:rPr>
              <w:t>221</w:t>
            </w:r>
          </w:p>
        </w:tc>
        <w:tc>
          <w:tcPr>
            <w:tcW w:w="14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lang w:val="en-US" w:eastAsia="zh-CN"/>
              </w:rPr>
              <w:t>住房保障支出</w:t>
            </w:r>
          </w:p>
        </w:tc>
        <w:tc>
          <w:tcPr>
            <w:tcW w:w="96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33.32</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lang w:val="en-US" w:eastAsia="zh-CN"/>
              </w:rPr>
              <w:t>33.32</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16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lang w:val="en-US" w:eastAsia="zh-CN"/>
              </w:rPr>
              <w:t>22102</w:t>
            </w:r>
          </w:p>
        </w:tc>
        <w:tc>
          <w:tcPr>
            <w:tcW w:w="14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lang w:val="en-US" w:eastAsia="zh-CN"/>
              </w:rPr>
              <w:t>住房改革支出</w:t>
            </w:r>
          </w:p>
        </w:tc>
        <w:tc>
          <w:tcPr>
            <w:tcW w:w="96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tabs>
                <w:tab w:val="left" w:pos="506"/>
              </w:tabs>
              <w:spacing w:after="0" w:line="240" w:lineRule="atLeast"/>
              <w:jc w:val="center"/>
              <w:rPr>
                <w:rFonts w:hint="eastAsia" w:ascii="宋体" w:hAnsi="宋体" w:eastAsia="宋体" w:cs="宋体"/>
                <w:color w:val="000000"/>
                <w:szCs w:val="21"/>
                <w:lang w:eastAsia="zh-CN"/>
              </w:rPr>
            </w:pPr>
            <w:r>
              <w:rPr>
                <w:rFonts w:hint="eastAsia" w:ascii="宋体" w:hAnsi="宋体" w:cs="宋体"/>
                <w:color w:val="000000"/>
                <w:szCs w:val="21"/>
                <w:lang w:val="en-US" w:eastAsia="zh-CN"/>
              </w:rPr>
              <w:t>33.32</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tabs>
                <w:tab w:val="left" w:pos="506"/>
              </w:tabs>
              <w:spacing w:after="0" w:line="240" w:lineRule="atLeast"/>
              <w:jc w:val="both"/>
              <w:rPr>
                <w:rFonts w:ascii="宋体" w:hAnsi="宋体" w:cs="宋体"/>
                <w:color w:val="000000"/>
                <w:szCs w:val="21"/>
              </w:rPr>
            </w:pPr>
            <w:r>
              <w:rPr>
                <w:rFonts w:hint="eastAsia" w:ascii="宋体" w:hAnsi="宋体" w:cs="宋体"/>
                <w:color w:val="000000"/>
                <w:szCs w:val="21"/>
                <w:lang w:val="en-US" w:eastAsia="zh-CN"/>
              </w:rPr>
              <w:t>33.32</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16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lang w:val="en-US" w:eastAsia="zh-CN"/>
              </w:rPr>
              <w:t>2210201</w:t>
            </w:r>
          </w:p>
        </w:tc>
        <w:tc>
          <w:tcPr>
            <w:tcW w:w="14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lang w:val="en-US" w:eastAsia="zh-CN"/>
              </w:rPr>
              <w:t>住房公积金</w:t>
            </w:r>
          </w:p>
        </w:tc>
        <w:tc>
          <w:tcPr>
            <w:tcW w:w="96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lang w:val="en-US" w:eastAsia="zh-CN"/>
              </w:rPr>
              <w:t>33.32</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both"/>
              <w:rPr>
                <w:rFonts w:ascii="宋体" w:hAnsi="宋体" w:cs="宋体"/>
                <w:color w:val="000000"/>
                <w:szCs w:val="21"/>
              </w:rPr>
            </w:pPr>
            <w:r>
              <w:rPr>
                <w:rFonts w:hint="eastAsia" w:ascii="宋体" w:hAnsi="宋体" w:cs="宋体"/>
                <w:color w:val="000000"/>
                <w:szCs w:val="21"/>
                <w:lang w:val="en-US" w:eastAsia="zh-CN"/>
              </w:rPr>
              <w:t>33.32</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748" w:hRule="atLeast"/>
        </w:trPr>
        <w:tc>
          <w:tcPr>
            <w:tcW w:w="9000" w:type="dxa"/>
            <w:gridSpan w:val="1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注：本表反映部门本年度各项支出情况。</w:t>
            </w:r>
          </w:p>
        </w:tc>
      </w:tr>
    </w:tbl>
    <w:p>
      <w:pPr>
        <w:widowControl/>
        <w:spacing w:after="0" w:line="560" w:lineRule="exact"/>
        <w:ind w:firstLine="562" w:firstLineChars="200"/>
        <w:jc w:val="left"/>
        <w:rPr>
          <w:rFonts w:ascii="仿宋_GB2312" w:eastAsia="仿宋_GB2312" w:hAnsiTheme="majorEastAsia"/>
          <w:b/>
          <w:sz w:val="28"/>
          <w:szCs w:val="28"/>
          <w:highlight w:val="yellow"/>
        </w:rPr>
        <w:sectPr>
          <w:pgSz w:w="11906" w:h="16838"/>
          <w:pgMar w:top="1020" w:right="1474" w:bottom="113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717"/>
        <w:gridCol w:w="745"/>
        <w:gridCol w:w="325"/>
        <w:gridCol w:w="850"/>
        <w:gridCol w:w="2124"/>
        <w:gridCol w:w="191"/>
        <w:gridCol w:w="360"/>
        <w:gridCol w:w="650"/>
        <w:gridCol w:w="226"/>
        <w:gridCol w:w="599"/>
        <w:gridCol w:w="277"/>
        <w:gridCol w:w="876"/>
      </w:tblGrid>
      <w:tr>
        <w:tblPrEx>
          <w:tblCellMar>
            <w:top w:w="0" w:type="dxa"/>
            <w:left w:w="0" w:type="dxa"/>
            <w:bottom w:w="0" w:type="dxa"/>
            <w:right w:w="0" w:type="dxa"/>
          </w:tblCellMar>
        </w:tblPrEx>
        <w:trPr>
          <w:trHeight w:val="152" w:hRule="atLeast"/>
        </w:trPr>
        <w:tc>
          <w:tcPr>
            <w:tcW w:w="8940" w:type="dxa"/>
            <w:gridSpan w:val="1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财政拨款收入支出决算总表</w:t>
            </w:r>
          </w:p>
        </w:tc>
      </w:tr>
      <w:tr>
        <w:tblPrEx>
          <w:tblCellMar>
            <w:top w:w="0" w:type="dxa"/>
            <w:left w:w="0" w:type="dxa"/>
            <w:bottom w:w="0" w:type="dxa"/>
            <w:right w:w="0" w:type="dxa"/>
          </w:tblCellMar>
        </w:tblPrEx>
        <w:trPr>
          <w:trHeight w:val="90" w:hRule="atLeast"/>
        </w:trPr>
        <w:tc>
          <w:tcPr>
            <w:tcW w:w="171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745"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325"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2974"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551"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65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82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153"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公开04表</w:t>
            </w:r>
          </w:p>
        </w:tc>
      </w:tr>
      <w:tr>
        <w:tblPrEx>
          <w:tblCellMar>
            <w:top w:w="0" w:type="dxa"/>
            <w:left w:w="0" w:type="dxa"/>
            <w:bottom w:w="0" w:type="dxa"/>
            <w:right w:w="0" w:type="dxa"/>
          </w:tblCellMar>
        </w:tblPrEx>
        <w:trPr>
          <w:trHeight w:val="152" w:hRule="atLeast"/>
        </w:trPr>
        <w:tc>
          <w:tcPr>
            <w:tcW w:w="6312" w:type="dxa"/>
            <w:gridSpan w:val="7"/>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部门：</w:t>
            </w:r>
            <w:r>
              <w:rPr>
                <w:rFonts w:hint="eastAsia" w:ascii="宋体" w:hAnsi="宋体" w:cs="宋体"/>
                <w:color w:val="000000"/>
                <w:kern w:val="0"/>
                <w:sz w:val="20"/>
                <w:szCs w:val="20"/>
                <w:lang w:val="en-US" w:eastAsia="zh-CN"/>
              </w:rPr>
              <w:t>廊坊市大厂回族自治县审计局（本级）</w:t>
            </w:r>
          </w:p>
        </w:tc>
        <w:tc>
          <w:tcPr>
            <w:tcW w:w="65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978" w:type="dxa"/>
            <w:gridSpan w:val="4"/>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90" w:hRule="atLeast"/>
        </w:trPr>
        <w:tc>
          <w:tcPr>
            <w:tcW w:w="2787"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收     入</w:t>
            </w:r>
          </w:p>
        </w:tc>
        <w:tc>
          <w:tcPr>
            <w:tcW w:w="6153" w:type="dxa"/>
            <w:gridSpan w:val="9"/>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支     出</w:t>
            </w:r>
          </w:p>
        </w:tc>
      </w:tr>
      <w:tr>
        <w:tblPrEx>
          <w:tblCellMar>
            <w:top w:w="0" w:type="dxa"/>
            <w:left w:w="0" w:type="dxa"/>
            <w:bottom w:w="0" w:type="dxa"/>
            <w:right w:w="0" w:type="dxa"/>
          </w:tblCellMar>
        </w:tblPrEx>
        <w:trPr>
          <w:trHeight w:val="17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项目</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行次</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金额</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项目</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行次</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合计</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一般公共预算财政拨款</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政府性基金预算财政拨款</w:t>
            </w: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一、一般公共预算财政拨款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957.55</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一、一般公共服务支出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29</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885.80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r>
              <w:rPr>
                <w:rFonts w:hint="eastAsia" w:ascii="宋体" w:hAnsi="宋体" w:cs="宋体"/>
                <w:color w:val="000000"/>
                <w:sz w:val="18"/>
                <w:szCs w:val="18"/>
                <w:lang w:val="en-US" w:eastAsia="zh-CN"/>
              </w:rPr>
              <w:t>885.80</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二、政府性基金预算财政拨款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二、外交支出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三、国防支出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31</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四、公共安全支出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五、教育支出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33</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6</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六、科学技术支出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34</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7</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七、文化体育与传媒支出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35</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8</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八、社会保障和就业支出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36</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55.53</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r>
              <w:rPr>
                <w:rFonts w:hint="eastAsia" w:ascii="宋体" w:hAnsi="宋体" w:cs="宋体"/>
                <w:color w:val="000000"/>
                <w:sz w:val="18"/>
                <w:szCs w:val="18"/>
                <w:lang w:val="en-US" w:eastAsia="zh-CN"/>
              </w:rPr>
              <w:t>55.53</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9</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6"/>
                <w:szCs w:val="16"/>
              </w:rPr>
              <w:t>九、医疗卫生与计划生育支出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37</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19.85</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r>
              <w:rPr>
                <w:rFonts w:hint="eastAsia" w:ascii="宋体" w:hAnsi="宋体" w:cs="宋体"/>
                <w:color w:val="000000"/>
                <w:sz w:val="18"/>
                <w:szCs w:val="18"/>
                <w:lang w:val="en-US" w:eastAsia="zh-CN"/>
              </w:rPr>
              <w:t>19.85</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10</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十、节能环保支出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38</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11</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十一、城乡社区支出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39</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12</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十二、农林水支出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13</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十三、交通运输支出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41</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14</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十四、资源勘探信息等支出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15</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十五、商业服务业等支出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43</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16</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十六、金融支出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44</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17</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十七、援助其他地区支出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45</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18</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十八、国土海洋气象等支出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46</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19</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十九、住房保障支出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47</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tabs>
                <w:tab w:val="left" w:pos="453"/>
              </w:tabs>
              <w:spacing w:after="0" w:line="240" w:lineRule="atLeast"/>
              <w:jc w:val="center"/>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33.32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tabs>
                <w:tab w:val="left" w:pos="453"/>
              </w:tabs>
              <w:spacing w:after="0" w:line="240" w:lineRule="atLeast"/>
              <w:jc w:val="center"/>
              <w:rPr>
                <w:rFonts w:hint="default" w:ascii="宋体" w:hAnsi="宋体" w:cs="宋体"/>
                <w:color w:val="000000"/>
                <w:sz w:val="18"/>
                <w:szCs w:val="18"/>
                <w:lang w:val="en-US"/>
              </w:rPr>
            </w:pPr>
            <w:r>
              <w:rPr>
                <w:rFonts w:hint="eastAsia" w:ascii="宋体" w:hAnsi="宋体" w:cs="宋体"/>
                <w:color w:val="000000"/>
                <w:sz w:val="18"/>
                <w:szCs w:val="18"/>
                <w:lang w:val="en-US" w:eastAsia="zh-CN"/>
              </w:rPr>
              <w:t>33.32</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20</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二十、粮油物资储备支出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48</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21</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二十一、其他支出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49</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22</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二十二、债务还本支出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23</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二十三、债务付息支出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51</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本年收入合计</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24</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957.55</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本年支出合计</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994.50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r>
              <w:rPr>
                <w:rFonts w:hint="eastAsia" w:ascii="宋体" w:hAnsi="宋体" w:cs="宋体"/>
                <w:color w:val="000000"/>
                <w:sz w:val="18"/>
                <w:szCs w:val="18"/>
                <w:lang w:val="en-US" w:eastAsia="zh-CN"/>
              </w:rPr>
              <w:t>994.50</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年初财政拨款结转和结余</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25</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43.55</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年末财政拨款结转和结余</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53</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6.60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r>
              <w:rPr>
                <w:rFonts w:hint="eastAsia" w:ascii="宋体" w:hAnsi="宋体" w:cs="宋体"/>
                <w:color w:val="000000"/>
                <w:sz w:val="18"/>
                <w:szCs w:val="18"/>
                <w:lang w:val="en-US" w:eastAsia="zh-CN"/>
              </w:rPr>
              <w:t>6.60</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 xml:space="preserve">  一般公共预算财政拨款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26</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43.55</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54</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 xml:space="preserve">  政府性基金预算财政拨款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27</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55</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总计</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28</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1001.10</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总计</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56</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1001.10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r>
              <w:rPr>
                <w:rFonts w:hint="eastAsia" w:ascii="宋体" w:hAnsi="宋体" w:cs="宋体"/>
                <w:color w:val="000000"/>
                <w:sz w:val="18"/>
                <w:szCs w:val="18"/>
                <w:lang w:val="en-US" w:eastAsia="zh-CN"/>
              </w:rPr>
              <w:t>1001.10</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55" w:hRule="atLeast"/>
        </w:trPr>
        <w:tc>
          <w:tcPr>
            <w:tcW w:w="8940" w:type="dxa"/>
            <w:gridSpan w:val="1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注：本表反映部门本年度一般公共预算财政拨款和政府性基金预算财政拨款的总收支和年末结转结余情况。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317"/>
        <w:gridCol w:w="319"/>
        <w:gridCol w:w="357"/>
        <w:gridCol w:w="2109"/>
        <w:gridCol w:w="745"/>
        <w:gridCol w:w="1174"/>
        <w:gridCol w:w="718"/>
        <w:gridCol w:w="1201"/>
        <w:gridCol w:w="1920"/>
      </w:tblGrid>
      <w:tr>
        <w:tblPrEx>
          <w:tblCellMar>
            <w:top w:w="0" w:type="dxa"/>
            <w:left w:w="0" w:type="dxa"/>
            <w:bottom w:w="0" w:type="dxa"/>
            <w:right w:w="0" w:type="dxa"/>
          </w:tblCellMar>
        </w:tblPrEx>
        <w:trPr>
          <w:trHeight w:val="600" w:hRule="atLeast"/>
        </w:trPr>
        <w:tc>
          <w:tcPr>
            <w:tcW w:w="8860" w:type="dxa"/>
            <w:gridSpan w:val="9"/>
            <w:tcBorders>
              <w:top w:val="nil"/>
              <w:left w:val="nil"/>
              <w:bottom w:val="nil"/>
              <w:right w:val="nil"/>
            </w:tcBorders>
            <w:shd w:val="clear" w:color="auto" w:fill="auto"/>
            <w:noWrap/>
            <w:tcMar>
              <w:top w:w="15" w:type="dxa"/>
              <w:left w:w="15" w:type="dxa"/>
              <w:right w:w="15" w:type="dxa"/>
            </w:tcMar>
            <w:vAlign w:val="bottom"/>
          </w:tcPr>
          <w:p>
            <w:pPr>
              <w:widowControl/>
              <w:spacing w:after="0" w:line="240" w:lineRule="auto"/>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一般公共预算财政拨款支出决算表</w:t>
            </w:r>
          </w:p>
        </w:tc>
      </w:tr>
      <w:tr>
        <w:tblPrEx>
          <w:tblCellMar>
            <w:top w:w="0" w:type="dxa"/>
            <w:left w:w="0" w:type="dxa"/>
            <w:bottom w:w="0" w:type="dxa"/>
            <w:right w:w="0" w:type="dxa"/>
          </w:tblCellMar>
        </w:tblPrEx>
        <w:trPr>
          <w:trHeight w:val="334" w:hRule="atLeast"/>
        </w:trPr>
        <w:tc>
          <w:tcPr>
            <w:tcW w:w="31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9"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5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109"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745"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892"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公开05表</w:t>
            </w:r>
          </w:p>
        </w:tc>
      </w:tr>
      <w:tr>
        <w:tblPrEx>
          <w:tblCellMar>
            <w:top w:w="0" w:type="dxa"/>
            <w:left w:w="0" w:type="dxa"/>
            <w:bottom w:w="0" w:type="dxa"/>
            <w:right w:w="0" w:type="dxa"/>
          </w:tblCellMar>
        </w:tblPrEx>
        <w:trPr>
          <w:trHeight w:val="334" w:hRule="atLeast"/>
        </w:trPr>
        <w:tc>
          <w:tcPr>
            <w:tcW w:w="3847" w:type="dxa"/>
            <w:gridSpan w:val="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部门：</w:t>
            </w:r>
            <w:r>
              <w:rPr>
                <w:rFonts w:hint="eastAsia" w:ascii="宋体" w:hAnsi="宋体" w:cs="宋体"/>
                <w:color w:val="000000"/>
                <w:kern w:val="0"/>
                <w:sz w:val="20"/>
                <w:szCs w:val="20"/>
                <w:lang w:val="en-US" w:eastAsia="zh-CN"/>
              </w:rPr>
              <w:t>廊坊市大厂回族自治县审计局（本级）</w:t>
            </w:r>
          </w:p>
        </w:tc>
        <w:tc>
          <w:tcPr>
            <w:tcW w:w="1892"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51" w:hRule="atLeast"/>
        </w:trPr>
        <w:tc>
          <w:tcPr>
            <w:tcW w:w="3102"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5758" w:type="dxa"/>
            <w:gridSpan w:val="5"/>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本年支出</w:t>
            </w:r>
          </w:p>
        </w:tc>
      </w:tr>
      <w:tr>
        <w:tblPrEx>
          <w:tblCellMar>
            <w:top w:w="0" w:type="dxa"/>
            <w:left w:w="0" w:type="dxa"/>
            <w:bottom w:w="0" w:type="dxa"/>
            <w:right w:w="0" w:type="dxa"/>
          </w:tblCellMar>
        </w:tblPrEx>
        <w:trPr>
          <w:trHeight w:val="334" w:hRule="atLeast"/>
        </w:trPr>
        <w:tc>
          <w:tcPr>
            <w:tcW w:w="993"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2109"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191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91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192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项目支出</w:t>
            </w:r>
          </w:p>
        </w:tc>
      </w:tr>
      <w:tr>
        <w:tblPrEx>
          <w:tblCellMar>
            <w:top w:w="0" w:type="dxa"/>
            <w:left w:w="0" w:type="dxa"/>
            <w:bottom w:w="0" w:type="dxa"/>
            <w:right w:w="0" w:type="dxa"/>
          </w:tblCellMar>
        </w:tblPrEx>
        <w:trPr>
          <w:trHeight w:val="334" w:hRule="atLeast"/>
        </w:trPr>
        <w:tc>
          <w:tcPr>
            <w:tcW w:w="993"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2109"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2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12" w:hRule="atLeast"/>
        </w:trPr>
        <w:tc>
          <w:tcPr>
            <w:tcW w:w="993"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2109"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2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3</w:t>
            </w:r>
          </w:p>
        </w:tc>
      </w:tr>
      <w:tr>
        <w:tblPrEx>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b/>
                <w:color w:val="000000"/>
                <w:szCs w:val="21"/>
                <w:lang w:val="en-US" w:eastAsia="zh-CN"/>
              </w:rPr>
            </w:pPr>
            <w:r>
              <w:rPr>
                <w:rFonts w:hint="eastAsia" w:ascii="宋体" w:hAnsi="宋体" w:cs="宋体"/>
                <w:b/>
                <w:color w:val="000000"/>
                <w:szCs w:val="21"/>
                <w:lang w:val="en-US" w:eastAsia="zh-CN"/>
              </w:rPr>
              <w:t>994.50</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b/>
                <w:color w:val="000000"/>
                <w:szCs w:val="21"/>
                <w:lang w:val="en-US" w:eastAsia="zh-CN"/>
              </w:rPr>
            </w:pPr>
            <w:r>
              <w:rPr>
                <w:rFonts w:hint="eastAsia" w:ascii="宋体" w:hAnsi="宋体" w:cs="宋体"/>
                <w:b/>
                <w:color w:val="000000"/>
                <w:szCs w:val="21"/>
                <w:lang w:val="en-US" w:eastAsia="zh-CN"/>
              </w:rPr>
              <w:t>700.08</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b/>
                <w:color w:val="000000"/>
                <w:szCs w:val="21"/>
                <w:lang w:val="en-US" w:eastAsia="zh-CN"/>
              </w:rPr>
            </w:pPr>
            <w:r>
              <w:rPr>
                <w:rFonts w:hint="eastAsia" w:ascii="宋体" w:hAnsi="宋体" w:cs="宋体"/>
                <w:b/>
                <w:color w:val="000000"/>
                <w:szCs w:val="21"/>
                <w:lang w:val="en-US" w:eastAsia="zh-CN"/>
              </w:rPr>
              <w:t>294.42</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ind w:firstLine="420" w:firstLineChars="200"/>
              <w:jc w:val="both"/>
              <w:rPr>
                <w:rFonts w:ascii="宋体" w:hAnsi="宋体" w:cs="宋体"/>
                <w:color w:val="000000"/>
                <w:szCs w:val="21"/>
              </w:rPr>
            </w:pPr>
            <w:r>
              <w:rPr>
                <w:rFonts w:hint="eastAsia" w:ascii="宋体" w:hAnsi="宋体" w:cs="宋体"/>
                <w:color w:val="000000"/>
                <w:szCs w:val="21"/>
                <w:lang w:val="en-US" w:eastAsia="zh-CN"/>
              </w:rPr>
              <w:t>201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lang w:val="en-US" w:eastAsia="zh-CN"/>
              </w:rPr>
              <w:t>一般公共服务支出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885.80</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both"/>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lang w:val="en-US" w:eastAsia="zh-CN"/>
              </w:rPr>
              <w:t>20108</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lang w:val="en-US" w:eastAsia="zh-CN"/>
              </w:rPr>
              <w:t>审计事务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885.80</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both"/>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lang w:val="en-US" w:eastAsia="zh-CN"/>
              </w:rPr>
              <w:t>2010801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lang w:val="en-US" w:eastAsia="zh-CN"/>
              </w:rPr>
              <w:t>行政运行</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cs="宋体"/>
                <w:color w:val="000000"/>
                <w:szCs w:val="21"/>
                <w:lang w:val="en-US"/>
              </w:rPr>
            </w:pPr>
            <w:r>
              <w:rPr>
                <w:rFonts w:hint="eastAsia" w:ascii="宋体" w:hAnsi="宋体" w:cs="宋体"/>
                <w:color w:val="000000"/>
                <w:szCs w:val="21"/>
                <w:lang w:val="en-US" w:eastAsia="zh-CN"/>
              </w:rPr>
              <w:t>591.38</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cs="宋体"/>
                <w:color w:val="000000"/>
                <w:szCs w:val="21"/>
                <w:lang w:val="en-US"/>
              </w:rPr>
            </w:pPr>
            <w:r>
              <w:rPr>
                <w:rFonts w:hint="eastAsia" w:ascii="宋体" w:hAnsi="宋体" w:cs="宋体"/>
                <w:color w:val="000000"/>
                <w:szCs w:val="21"/>
                <w:lang w:val="en-US" w:eastAsia="zh-CN"/>
              </w:rPr>
              <w:t>591.38</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lang w:val="en-US" w:eastAsia="zh-CN"/>
              </w:rPr>
              <w:t>2010804</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lang w:val="en-US" w:eastAsia="zh-CN"/>
              </w:rPr>
              <w:t>审计业务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cs="宋体"/>
                <w:color w:val="000000"/>
                <w:szCs w:val="21"/>
                <w:lang w:val="en-US"/>
              </w:rPr>
            </w:pPr>
            <w:r>
              <w:rPr>
                <w:rFonts w:hint="eastAsia" w:ascii="宋体" w:hAnsi="宋体" w:cs="宋体"/>
                <w:color w:val="000000"/>
                <w:szCs w:val="21"/>
                <w:lang w:val="en-US" w:eastAsia="zh-CN"/>
              </w:rPr>
              <w:t>264.00</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lang w:val="en-US" w:eastAsia="zh-CN"/>
              </w:rPr>
              <w:t>264.00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lang w:val="en-US" w:eastAsia="zh-CN"/>
              </w:rPr>
              <w:t>2010805</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lang w:val="en-US" w:eastAsia="zh-CN"/>
              </w:rPr>
              <w:t>审计管理</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lang w:val="en-US" w:eastAsia="zh-CN"/>
              </w:rPr>
              <w:t>8.50</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lang w:val="en-US" w:eastAsia="zh-CN"/>
              </w:rPr>
              <w:t>8.50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lang w:val="en-US" w:eastAsia="zh-CN"/>
              </w:rPr>
              <w:t>2010806</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lang w:val="en-US" w:eastAsia="zh-CN"/>
              </w:rPr>
              <w:t>信息化建设</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lang w:val="en-US" w:eastAsia="zh-CN"/>
              </w:rPr>
              <w:t>1.68</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lang w:val="en-US" w:eastAsia="zh-CN"/>
              </w:rPr>
              <w:t>1.68</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lang w:val="en-US" w:eastAsia="zh-CN"/>
              </w:rPr>
              <w:t>2010899</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lang w:val="en-US" w:eastAsia="zh-CN"/>
              </w:rPr>
              <w:t>其他审计事务支出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lang w:val="en-US" w:eastAsia="zh-CN"/>
              </w:rPr>
              <w:t>20.24</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lang w:val="en-US" w:eastAsia="zh-CN"/>
              </w:rPr>
              <w:t>20.24</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lang w:val="en-US" w:eastAsia="zh-CN"/>
              </w:rPr>
              <w:t>208</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lang w:val="en-US" w:eastAsia="zh-CN"/>
              </w:rPr>
              <w:t>社会保障和就业支出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lang w:val="en-US" w:eastAsia="zh-CN"/>
              </w:rPr>
              <w:t>55.53</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lang w:val="en-US" w:eastAsia="zh-CN"/>
              </w:rPr>
              <w:t>55.53</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lang w:val="en-US" w:eastAsia="zh-CN"/>
              </w:rPr>
              <w:t>20805</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lang w:val="en-US" w:eastAsia="zh-CN"/>
              </w:rPr>
              <w:t>行政事业单位离退休</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lang w:val="en-US" w:eastAsia="zh-CN"/>
              </w:rPr>
              <w:t>55.53</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lang w:val="en-US" w:eastAsia="zh-CN"/>
              </w:rPr>
              <w:t>55.53</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lang w:val="en-US" w:eastAsia="zh-CN"/>
              </w:rPr>
              <w:t>2080505</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lang w:val="en-US" w:eastAsia="zh-CN"/>
              </w:rPr>
              <w:t>机关事业单位基本养老保险缴费支出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lang w:val="en-US" w:eastAsia="zh-CN"/>
              </w:rPr>
              <w:t>55.53</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lang w:val="en-US" w:eastAsia="zh-CN"/>
              </w:rPr>
              <w:t>55.53</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lang w:val="en-US" w:eastAsia="zh-CN"/>
              </w:rPr>
              <w:t>210</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lang w:val="en-US" w:eastAsia="zh-CN"/>
              </w:rPr>
              <w:t>医疗卫生与计划生育支出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lang w:val="en-US" w:eastAsia="zh-CN"/>
              </w:rPr>
              <w:t>19.85</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lang w:val="en-US" w:eastAsia="zh-CN"/>
              </w:rPr>
              <w:t>19.85</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lang w:val="en-US" w:eastAsia="zh-CN"/>
              </w:rPr>
              <w:t>21011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lang w:val="en-US" w:eastAsia="zh-CN"/>
              </w:rPr>
              <w:t>行政事业单位医疗</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lang w:val="en-US" w:eastAsia="zh-CN"/>
              </w:rPr>
              <w:t>19.85</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lang w:val="en-US" w:eastAsia="zh-CN"/>
              </w:rPr>
              <w:t>19.85</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lang w:val="en-US" w:eastAsia="zh-CN"/>
              </w:rPr>
              <w:t>2101101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lang w:val="en-US" w:eastAsia="zh-CN"/>
              </w:rPr>
              <w:t>行政单位医疗</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lang w:val="en-US" w:eastAsia="zh-CN"/>
              </w:rPr>
              <w:t>19.85</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lang w:val="en-US" w:eastAsia="zh-CN"/>
              </w:rPr>
              <w:t>19.85</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73"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lang w:val="en-US" w:eastAsia="zh-CN"/>
              </w:rPr>
              <w:t>221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lang w:val="en-US" w:eastAsia="zh-CN"/>
              </w:rPr>
              <w:t>住房保障支出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lang w:val="en-US" w:eastAsia="zh-CN"/>
              </w:rPr>
              <w:t>33.32</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lang w:val="en-US" w:eastAsia="zh-CN"/>
              </w:rPr>
              <w:t>33.32</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lang w:val="en-US" w:eastAsia="zh-CN"/>
              </w:rPr>
              <w:t>22102</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lang w:val="en-US" w:eastAsia="zh-CN"/>
              </w:rPr>
              <w:t>住房改革支出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tabs>
                <w:tab w:val="left" w:pos="506"/>
              </w:tabs>
              <w:spacing w:after="0" w:line="240" w:lineRule="atLeast"/>
              <w:jc w:val="center"/>
              <w:rPr>
                <w:rFonts w:ascii="宋体" w:hAnsi="宋体" w:cs="宋体"/>
                <w:color w:val="000000"/>
                <w:szCs w:val="21"/>
              </w:rPr>
            </w:pPr>
            <w:r>
              <w:rPr>
                <w:rFonts w:hint="eastAsia" w:ascii="宋体" w:hAnsi="宋体" w:cs="宋体"/>
                <w:color w:val="000000"/>
                <w:szCs w:val="21"/>
                <w:lang w:val="en-US" w:eastAsia="zh-CN"/>
              </w:rPr>
              <w:t>33.32</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tabs>
                <w:tab w:val="left" w:pos="506"/>
              </w:tabs>
              <w:spacing w:after="0" w:line="240" w:lineRule="atLeast"/>
              <w:jc w:val="center"/>
              <w:rPr>
                <w:rFonts w:ascii="宋体" w:hAnsi="宋体" w:cs="宋体"/>
                <w:color w:val="000000"/>
                <w:szCs w:val="21"/>
              </w:rPr>
            </w:pPr>
            <w:r>
              <w:rPr>
                <w:rFonts w:hint="eastAsia" w:ascii="宋体" w:hAnsi="宋体" w:cs="宋体"/>
                <w:color w:val="000000"/>
                <w:szCs w:val="21"/>
                <w:lang w:val="en-US" w:eastAsia="zh-CN"/>
              </w:rPr>
              <w:t>33.32</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lang w:val="en-US" w:eastAsia="zh-CN"/>
              </w:rPr>
              <w:t>2210201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lang w:val="en-US" w:eastAsia="zh-CN"/>
              </w:rPr>
              <w:t>住房公积金</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lang w:val="en-US" w:eastAsia="zh-CN"/>
              </w:rPr>
              <w:t>33.32</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lang w:val="en-US" w:eastAsia="zh-CN"/>
              </w:rPr>
              <w:t>33.32</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8860" w:type="dxa"/>
            <w:gridSpan w:val="9"/>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 xml:space="preserve">注：本表反映部门本年度一般公共预算财政拨款收入及支出情况。      </w:t>
            </w:r>
          </w:p>
        </w:tc>
      </w:tr>
    </w:tbl>
    <w:p>
      <w:pPr>
        <w:widowControl/>
        <w:spacing w:after="0" w:line="560" w:lineRule="exact"/>
        <w:jc w:val="left"/>
        <w:rPr>
          <w:rFonts w:hint="eastAsia" w:ascii="仿宋_GB2312" w:eastAsia="仿宋_GB2312" w:hAnsiTheme="majorEastAsia"/>
          <w:b/>
          <w:sz w:val="28"/>
          <w:szCs w:val="28"/>
          <w:highlight w:val="yellow"/>
          <w:lang w:eastAsia="zh-CN"/>
        </w:rPr>
        <w:sectPr>
          <w:pgSz w:w="11906" w:h="16838"/>
          <w:pgMar w:top="2098" w:right="1474" w:bottom="1984" w:left="1588" w:header="851" w:footer="992" w:gutter="0"/>
          <w:cols w:space="0" w:num="1"/>
          <w:docGrid w:type="lines" w:linePitch="312" w:charSpace="0"/>
        </w:sectPr>
      </w:pPr>
    </w:p>
    <w:tbl>
      <w:tblPr>
        <w:tblStyle w:val="12"/>
        <w:tblW w:w="9180" w:type="dxa"/>
        <w:jc w:val="center"/>
        <w:tblLayout w:type="fixed"/>
        <w:tblCellMar>
          <w:top w:w="0" w:type="dxa"/>
          <w:left w:w="0" w:type="dxa"/>
          <w:bottom w:w="0" w:type="dxa"/>
          <w:right w:w="0" w:type="dxa"/>
        </w:tblCellMar>
      </w:tblPr>
      <w:tblGrid>
        <w:gridCol w:w="558"/>
        <w:gridCol w:w="1597"/>
        <w:gridCol w:w="840"/>
        <w:gridCol w:w="477"/>
        <w:gridCol w:w="1763"/>
        <w:gridCol w:w="740"/>
        <w:gridCol w:w="560"/>
        <w:gridCol w:w="1788"/>
        <w:gridCol w:w="857"/>
      </w:tblGrid>
      <w:tr>
        <w:tblPrEx>
          <w:tblCellMar>
            <w:top w:w="0" w:type="dxa"/>
            <w:left w:w="0" w:type="dxa"/>
            <w:bottom w:w="0" w:type="dxa"/>
            <w:right w:w="0" w:type="dxa"/>
          </w:tblCellMar>
        </w:tblPrEx>
        <w:trPr>
          <w:trHeight w:val="526" w:hRule="atLeast"/>
          <w:jc w:val="center"/>
        </w:trPr>
        <w:tc>
          <w:tcPr>
            <w:tcW w:w="9180" w:type="dxa"/>
            <w:gridSpan w:val="9"/>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一般公共预算财政拨款基本支出决算表</w:t>
            </w:r>
          </w:p>
        </w:tc>
      </w:tr>
      <w:tr>
        <w:tblPrEx>
          <w:tblCellMar>
            <w:top w:w="0" w:type="dxa"/>
            <w:left w:w="0" w:type="dxa"/>
            <w:bottom w:w="0" w:type="dxa"/>
            <w:right w:w="0" w:type="dxa"/>
          </w:tblCellMar>
        </w:tblPrEx>
        <w:trPr>
          <w:trHeight w:val="269" w:hRule="atLeast"/>
          <w:jc w:val="center"/>
        </w:trPr>
        <w:tc>
          <w:tcPr>
            <w:tcW w:w="558"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59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84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47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763"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74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公开06表</w:t>
            </w:r>
          </w:p>
        </w:tc>
      </w:tr>
      <w:tr>
        <w:tblPrEx>
          <w:tblCellMar>
            <w:top w:w="0" w:type="dxa"/>
            <w:left w:w="0" w:type="dxa"/>
            <w:bottom w:w="0" w:type="dxa"/>
            <w:right w:w="0" w:type="dxa"/>
          </w:tblCellMar>
        </w:tblPrEx>
        <w:trPr>
          <w:trHeight w:val="269" w:hRule="atLeast"/>
          <w:jc w:val="center"/>
        </w:trPr>
        <w:tc>
          <w:tcPr>
            <w:tcW w:w="5235" w:type="dxa"/>
            <w:gridSpan w:val="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部门：</w:t>
            </w:r>
            <w:r>
              <w:rPr>
                <w:rFonts w:hint="eastAsia" w:ascii="宋体" w:hAnsi="宋体" w:eastAsia="宋体" w:cs="宋体"/>
                <w:color w:val="000000"/>
                <w:kern w:val="0"/>
                <w:sz w:val="16"/>
                <w:szCs w:val="16"/>
                <w:lang w:val="en-US" w:eastAsia="zh-CN"/>
              </w:rPr>
              <w:t>廊坊市大厂回族自治县审计局（本级）</w:t>
            </w:r>
          </w:p>
        </w:tc>
        <w:tc>
          <w:tcPr>
            <w:tcW w:w="74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hint="eastAsia" w:ascii="宋体" w:hAnsi="宋体" w:eastAsia="宋体" w:cs="宋体"/>
                <w:color w:val="000000"/>
                <w:sz w:val="16"/>
                <w:szCs w:val="16"/>
              </w:rPr>
            </w:pPr>
          </w:p>
        </w:tc>
        <w:tc>
          <w:tcPr>
            <w:tcW w:w="56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hint="eastAsia" w:ascii="宋体" w:hAnsi="宋体" w:eastAsia="宋体" w:cs="宋体"/>
                <w:color w:val="000000"/>
                <w:sz w:val="16"/>
                <w:szCs w:val="16"/>
              </w:rPr>
            </w:pPr>
          </w:p>
        </w:tc>
        <w:tc>
          <w:tcPr>
            <w:tcW w:w="264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金额单位：万元</w:t>
            </w:r>
          </w:p>
        </w:tc>
      </w:tr>
      <w:tr>
        <w:tblPrEx>
          <w:tblCellMar>
            <w:top w:w="0" w:type="dxa"/>
            <w:left w:w="0" w:type="dxa"/>
            <w:bottom w:w="0" w:type="dxa"/>
            <w:right w:w="0" w:type="dxa"/>
          </w:tblCellMar>
        </w:tblPrEx>
        <w:trPr>
          <w:trHeight w:val="277" w:hRule="atLeast"/>
          <w:jc w:val="center"/>
        </w:trPr>
        <w:tc>
          <w:tcPr>
            <w:tcW w:w="2995"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人员经费</w:t>
            </w:r>
          </w:p>
        </w:tc>
        <w:tc>
          <w:tcPr>
            <w:tcW w:w="6185" w:type="dxa"/>
            <w:gridSpan w:val="6"/>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公用经费</w:t>
            </w:r>
          </w:p>
        </w:tc>
      </w:tr>
      <w:tr>
        <w:tblPrEx>
          <w:tblCellMar>
            <w:top w:w="0" w:type="dxa"/>
            <w:left w:w="0" w:type="dxa"/>
            <w:bottom w:w="0" w:type="dxa"/>
            <w:right w:w="0" w:type="dxa"/>
          </w:tblCellMar>
        </w:tblPrEx>
        <w:trPr>
          <w:trHeight w:val="312" w:hRule="atLeast"/>
          <w:jc w:val="center"/>
        </w:trPr>
        <w:tc>
          <w:tcPr>
            <w:tcW w:w="558"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科目编码</w:t>
            </w:r>
          </w:p>
        </w:tc>
        <w:tc>
          <w:tcPr>
            <w:tcW w:w="159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科目名称</w:t>
            </w:r>
          </w:p>
        </w:tc>
        <w:tc>
          <w:tcPr>
            <w:tcW w:w="84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决算数</w:t>
            </w:r>
          </w:p>
        </w:tc>
        <w:tc>
          <w:tcPr>
            <w:tcW w:w="47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科目编码</w:t>
            </w:r>
          </w:p>
        </w:tc>
        <w:tc>
          <w:tcPr>
            <w:tcW w:w="176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科目名称</w:t>
            </w:r>
          </w:p>
        </w:tc>
        <w:tc>
          <w:tcPr>
            <w:tcW w:w="74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决算数</w:t>
            </w:r>
          </w:p>
        </w:tc>
        <w:tc>
          <w:tcPr>
            <w:tcW w:w="56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科目编码</w:t>
            </w:r>
          </w:p>
        </w:tc>
        <w:tc>
          <w:tcPr>
            <w:tcW w:w="1788"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科目名称</w:t>
            </w:r>
          </w:p>
        </w:tc>
        <w:tc>
          <w:tcPr>
            <w:tcW w:w="85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决算数</w:t>
            </w:r>
          </w:p>
        </w:tc>
      </w:tr>
      <w:tr>
        <w:tblPrEx>
          <w:tblCellMar>
            <w:top w:w="0" w:type="dxa"/>
            <w:left w:w="0" w:type="dxa"/>
            <w:bottom w:w="0" w:type="dxa"/>
            <w:right w:w="0" w:type="dxa"/>
          </w:tblCellMar>
        </w:tblPrEx>
        <w:trPr>
          <w:trHeight w:val="312" w:hRule="atLeast"/>
          <w:jc w:val="center"/>
        </w:trPr>
        <w:tc>
          <w:tcPr>
            <w:tcW w:w="558"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hint="eastAsia" w:ascii="宋体" w:hAnsi="宋体" w:eastAsia="宋体" w:cs="宋体"/>
                <w:color w:val="000000"/>
                <w:sz w:val="16"/>
                <w:szCs w:val="16"/>
              </w:rPr>
            </w:pPr>
          </w:p>
        </w:tc>
        <w:tc>
          <w:tcPr>
            <w:tcW w:w="159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hint="eastAsia" w:ascii="宋体" w:hAnsi="宋体" w:eastAsia="宋体" w:cs="宋体"/>
                <w:color w:val="000000"/>
                <w:sz w:val="16"/>
                <w:szCs w:val="16"/>
              </w:rPr>
            </w:pPr>
          </w:p>
        </w:tc>
        <w:tc>
          <w:tcPr>
            <w:tcW w:w="84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hint="eastAsia" w:ascii="宋体" w:hAnsi="宋体" w:eastAsia="宋体" w:cs="宋体"/>
                <w:color w:val="000000"/>
                <w:sz w:val="16"/>
                <w:szCs w:val="16"/>
              </w:rPr>
            </w:pPr>
          </w:p>
        </w:tc>
        <w:tc>
          <w:tcPr>
            <w:tcW w:w="47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hint="eastAsia" w:ascii="宋体" w:hAnsi="宋体" w:eastAsia="宋体" w:cs="宋体"/>
                <w:color w:val="000000"/>
                <w:sz w:val="16"/>
                <w:szCs w:val="16"/>
              </w:rPr>
            </w:pPr>
          </w:p>
        </w:tc>
        <w:tc>
          <w:tcPr>
            <w:tcW w:w="176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hint="eastAsia" w:ascii="宋体" w:hAnsi="宋体" w:eastAsia="宋体" w:cs="宋体"/>
                <w:color w:val="000000"/>
                <w:sz w:val="16"/>
                <w:szCs w:val="16"/>
              </w:rPr>
            </w:pPr>
          </w:p>
        </w:tc>
        <w:tc>
          <w:tcPr>
            <w:tcW w:w="74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hint="eastAsia" w:ascii="宋体" w:hAnsi="宋体" w:eastAsia="宋体" w:cs="宋体"/>
                <w:color w:val="000000"/>
                <w:sz w:val="16"/>
                <w:szCs w:val="16"/>
              </w:rPr>
            </w:pPr>
          </w:p>
        </w:tc>
        <w:tc>
          <w:tcPr>
            <w:tcW w:w="56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hint="eastAsia" w:ascii="宋体" w:hAnsi="宋体" w:eastAsia="宋体" w:cs="宋体"/>
                <w:color w:val="000000"/>
                <w:sz w:val="16"/>
                <w:szCs w:val="16"/>
              </w:rPr>
            </w:pPr>
          </w:p>
        </w:tc>
        <w:tc>
          <w:tcPr>
            <w:tcW w:w="1788"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hint="eastAsia" w:ascii="宋体" w:hAnsi="宋体" w:eastAsia="宋体" w:cs="宋体"/>
                <w:color w:val="000000"/>
                <w:sz w:val="16"/>
                <w:szCs w:val="16"/>
              </w:rPr>
            </w:pPr>
          </w:p>
        </w:tc>
        <w:tc>
          <w:tcPr>
            <w:tcW w:w="85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hint="eastAsia" w:ascii="宋体" w:hAnsi="宋体" w:eastAsia="宋体" w:cs="宋体"/>
                <w:color w:val="000000"/>
                <w:sz w:val="16"/>
                <w:szCs w:val="16"/>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301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工资福利支出</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eastAsia"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521.07</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302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商品和服务支出</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eastAsia"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69.7</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307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债务利息及费用支出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eastAsia" w:ascii="宋体" w:hAnsi="宋体" w:eastAsia="宋体" w:cs="宋体"/>
                <w:color w:val="000000"/>
                <w:sz w:val="16"/>
                <w:szCs w:val="16"/>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30101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 xml:space="preserve">  基本工资</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eastAsia"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139.68</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30201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 xml:space="preserve">  办公费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wordWrap w:val="0"/>
              <w:snapToGrid w:val="0"/>
              <w:spacing w:after="0" w:line="240" w:lineRule="auto"/>
              <w:jc w:val="right"/>
              <w:rPr>
                <w:rFonts w:hint="eastAsia"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 xml:space="preserve">6.76 </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30701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 xml:space="preserve">  国内债务付息</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eastAsia" w:ascii="宋体" w:hAnsi="宋体" w:eastAsia="宋体" w:cs="宋体"/>
                <w:color w:val="000000"/>
                <w:sz w:val="16"/>
                <w:szCs w:val="16"/>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30102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 xml:space="preserve">  津贴补贴</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eastAsia"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219.46</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30202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 xml:space="preserve">  印刷费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eastAsia" w:ascii="宋体" w:hAnsi="宋体" w:eastAsia="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30702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 xml:space="preserve">  国外债务付息</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eastAsia" w:ascii="宋体" w:hAnsi="宋体" w:eastAsia="宋体" w:cs="宋体"/>
                <w:color w:val="000000"/>
                <w:sz w:val="16"/>
                <w:szCs w:val="16"/>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30103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 xml:space="preserve">  奖金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eastAsia"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10.58</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30203</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 xml:space="preserve">  咨询费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eastAsia" w:ascii="宋体" w:hAnsi="宋体" w:eastAsia="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310</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资本性支出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eastAsia"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3.67</w:t>
            </w: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30106</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 xml:space="preserve">  伙食补助费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eastAsia" w:ascii="宋体" w:hAnsi="宋体" w:eastAsia="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30204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 xml:space="preserve">  手续费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eastAsia" w:ascii="宋体" w:hAnsi="宋体" w:eastAsia="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31001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 xml:space="preserve">  房屋建筑物购建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eastAsia" w:ascii="宋体" w:hAnsi="宋体" w:eastAsia="宋体" w:cs="宋体"/>
                <w:color w:val="000000"/>
                <w:sz w:val="16"/>
                <w:szCs w:val="16"/>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30107</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 xml:space="preserve">  绩效工资</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eastAsia"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4.76</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30205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 xml:space="preserve">  水费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eastAsia" w:ascii="宋体" w:hAnsi="宋体" w:eastAsia="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31002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 xml:space="preserve">  办公设备购置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eastAsia"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3.67</w:t>
            </w: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30108</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 xml:space="preserve">  机关事业单位基本养老保险缴费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eastAsia"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55.53</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30206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 xml:space="preserve">  电费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eastAsia"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3.07</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31003</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 xml:space="preserve">  专用设备购置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eastAsia" w:ascii="宋体" w:hAnsi="宋体" w:eastAsia="宋体" w:cs="宋体"/>
                <w:color w:val="000000"/>
                <w:sz w:val="16"/>
                <w:szCs w:val="16"/>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30109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 xml:space="preserve">  职业年金缴费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eastAsia"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1.10</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lang w:val="en-US"/>
              </w:rPr>
            </w:pP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 xml:space="preserve">  邮电费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eastAsia"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23.10</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31005</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 xml:space="preserve">  基础设施建设</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eastAsia" w:ascii="宋体" w:hAnsi="宋体" w:eastAsia="宋体" w:cs="宋体"/>
                <w:color w:val="000000"/>
                <w:sz w:val="16"/>
                <w:szCs w:val="16"/>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30110</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 xml:space="preserve">  职工基本医疗保险缴费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eastAsia"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19.85</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30208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 xml:space="preserve">  取暖费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eastAsia" w:ascii="宋体" w:hAnsi="宋体" w:eastAsia="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31006</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 xml:space="preserve">  大型修缮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eastAsia" w:ascii="宋体" w:hAnsi="宋体" w:eastAsia="宋体" w:cs="宋体"/>
                <w:color w:val="000000"/>
                <w:sz w:val="16"/>
                <w:szCs w:val="16"/>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30111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 xml:space="preserve">  公务员医疗补助缴费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eastAsia" w:ascii="宋体" w:hAnsi="宋体" w:eastAsia="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30209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 xml:space="preserve">  物业管理费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eastAsia" w:ascii="宋体" w:hAnsi="宋体" w:eastAsia="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31007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 xml:space="preserve">  信息网络及软件购置更新</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eastAsia" w:ascii="宋体" w:hAnsi="宋体" w:eastAsia="宋体" w:cs="宋体"/>
                <w:color w:val="000000"/>
                <w:sz w:val="16"/>
                <w:szCs w:val="16"/>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30112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 xml:space="preserve">  其他社会保障缴费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eastAsia"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1.95</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30211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 xml:space="preserve">  差旅费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eastAsia"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0.97</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31008</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 xml:space="preserve">  物资储备</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eastAsia" w:ascii="宋体" w:hAnsi="宋体" w:eastAsia="宋体" w:cs="宋体"/>
                <w:color w:val="000000"/>
                <w:sz w:val="16"/>
                <w:szCs w:val="16"/>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30113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 xml:space="preserve">  住房公积金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eastAsia"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33.32</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30212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 xml:space="preserve">  因公出国（境）费用</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eastAsia" w:ascii="宋体" w:hAnsi="宋体" w:eastAsia="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31009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 xml:space="preserve">  土地补偿</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eastAsia" w:ascii="宋体" w:hAnsi="宋体" w:eastAsia="宋体" w:cs="宋体"/>
                <w:color w:val="000000"/>
                <w:sz w:val="16"/>
                <w:szCs w:val="16"/>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30114</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 xml:space="preserve">  医疗费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eastAsia" w:ascii="宋体" w:hAnsi="宋体" w:eastAsia="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30213</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 xml:space="preserve">  维修（护）费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eastAsia"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1.36</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31010</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 xml:space="preserve">  安置补助</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eastAsia" w:ascii="宋体" w:hAnsi="宋体" w:eastAsia="宋体" w:cs="宋体"/>
                <w:color w:val="000000"/>
                <w:sz w:val="16"/>
                <w:szCs w:val="16"/>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30199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 xml:space="preserve">  其他工资福利支出</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eastAsia"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34.84</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30214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 xml:space="preserve">  租赁费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eastAsia" w:ascii="宋体" w:hAnsi="宋体" w:eastAsia="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31011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 xml:space="preserve">  地上附着物和青苗补偿</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eastAsia" w:ascii="宋体" w:hAnsi="宋体" w:eastAsia="宋体" w:cs="宋体"/>
                <w:color w:val="000000"/>
                <w:sz w:val="16"/>
                <w:szCs w:val="16"/>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303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对个人和家庭的补助</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eastAsia"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105.64</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30215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 xml:space="preserve">  会议费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eastAsia" w:ascii="宋体" w:hAnsi="宋体" w:eastAsia="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31012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 xml:space="preserve">  拆迁补偿</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eastAsia" w:ascii="宋体" w:hAnsi="宋体" w:eastAsia="宋体" w:cs="宋体"/>
                <w:color w:val="000000"/>
                <w:sz w:val="16"/>
                <w:szCs w:val="16"/>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30301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 xml:space="preserve">  离休费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eastAsia" w:ascii="宋体" w:hAnsi="宋体" w:eastAsia="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30216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 xml:space="preserve">  培训费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eastAsia"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1.75</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31013</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 xml:space="preserve">  公务用车购置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eastAsia" w:ascii="宋体" w:hAnsi="宋体" w:eastAsia="宋体" w:cs="宋体"/>
                <w:color w:val="000000"/>
                <w:sz w:val="16"/>
                <w:szCs w:val="16"/>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30302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 xml:space="preserve">  退休费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eastAsia" w:ascii="宋体" w:hAnsi="宋体" w:eastAsia="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30217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 xml:space="preserve">  公务接待费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eastAsia" w:ascii="宋体" w:hAnsi="宋体" w:eastAsia="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31019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 xml:space="preserve">  其他交通工具购置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eastAsia" w:ascii="宋体" w:hAnsi="宋体" w:eastAsia="宋体" w:cs="宋体"/>
                <w:color w:val="000000"/>
                <w:sz w:val="16"/>
                <w:szCs w:val="16"/>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30303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 xml:space="preserve">  退职（役）费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eastAsia" w:ascii="宋体" w:hAnsi="宋体" w:eastAsia="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30218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 xml:space="preserve">  专用材料费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eastAsia" w:ascii="宋体" w:hAnsi="宋体" w:eastAsia="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31021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 xml:space="preserve">  文物和陈列品购置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eastAsia" w:ascii="宋体" w:hAnsi="宋体" w:eastAsia="宋体" w:cs="宋体"/>
                <w:color w:val="000000"/>
                <w:sz w:val="16"/>
                <w:szCs w:val="16"/>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30304</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 xml:space="preserve">  抚恤金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eastAsia" w:ascii="宋体" w:hAnsi="宋体" w:eastAsia="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30224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 xml:space="preserve">  被装购置费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eastAsia" w:ascii="宋体" w:hAnsi="宋体" w:eastAsia="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31022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 xml:space="preserve">  无形资产购置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eastAsia" w:ascii="宋体" w:hAnsi="宋体" w:eastAsia="宋体" w:cs="宋体"/>
                <w:color w:val="000000"/>
                <w:sz w:val="16"/>
                <w:szCs w:val="16"/>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30305</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 xml:space="preserve">  生活补助</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eastAsia"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1.08</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30225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 xml:space="preserve">  专用燃料费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eastAsia" w:ascii="宋体" w:hAnsi="宋体" w:eastAsia="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31099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 xml:space="preserve">  其他资本性支出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eastAsia" w:ascii="宋体" w:hAnsi="宋体" w:eastAsia="宋体" w:cs="宋体"/>
                <w:color w:val="000000"/>
                <w:sz w:val="16"/>
                <w:szCs w:val="16"/>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30306</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 xml:space="preserve">  救济费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eastAsia"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0.09</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30226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 xml:space="preserve">  劳务费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eastAsia"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2.43</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399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其他支出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eastAsia" w:ascii="宋体" w:hAnsi="宋体" w:eastAsia="宋体" w:cs="宋体"/>
                <w:color w:val="000000"/>
                <w:sz w:val="16"/>
                <w:szCs w:val="16"/>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30307</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 xml:space="preserve">  医疗费补助</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eastAsia" w:ascii="宋体" w:hAnsi="宋体" w:eastAsia="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30227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 xml:space="preserve">  委托业务费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eastAsia" w:ascii="宋体" w:hAnsi="宋体" w:eastAsia="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39906</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 xml:space="preserve">  赠与</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eastAsia" w:ascii="宋体" w:hAnsi="宋体" w:eastAsia="宋体" w:cs="宋体"/>
                <w:color w:val="000000"/>
                <w:sz w:val="16"/>
                <w:szCs w:val="16"/>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30308</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 xml:space="preserve">  助学金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eastAsia" w:ascii="宋体" w:hAnsi="宋体" w:eastAsia="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30228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 xml:space="preserve">  工会经费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eastAsia"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4.00</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39907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 xml:space="preserve">  国家赔偿费用支出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eastAsia" w:ascii="宋体" w:hAnsi="宋体" w:eastAsia="宋体" w:cs="宋体"/>
                <w:color w:val="000000"/>
                <w:sz w:val="16"/>
                <w:szCs w:val="16"/>
              </w:rPr>
            </w:pPr>
          </w:p>
        </w:tc>
      </w:tr>
      <w:tr>
        <w:tblPrEx>
          <w:tblCellMar>
            <w:top w:w="0" w:type="dxa"/>
            <w:left w:w="0" w:type="dxa"/>
            <w:bottom w:w="0" w:type="dxa"/>
            <w:right w:w="0" w:type="dxa"/>
          </w:tblCellMar>
        </w:tblPrEx>
        <w:trPr>
          <w:trHeight w:val="420"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30309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 xml:space="preserve">  奖励金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eastAsia"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104.47</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30229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 xml:space="preserve">  福利费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eastAsia" w:ascii="宋体" w:hAnsi="宋体" w:eastAsia="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39908</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 xml:space="preserve">  对民间非营利组织和群众性自治组织补贴</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eastAsia" w:ascii="宋体" w:hAnsi="宋体" w:eastAsia="宋体" w:cs="宋体"/>
                <w:color w:val="000000"/>
                <w:sz w:val="16"/>
                <w:szCs w:val="16"/>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30310</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 xml:space="preserve">  个人农业生产补贴</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eastAsia" w:ascii="宋体" w:hAnsi="宋体" w:eastAsia="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30231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 xml:space="preserve">  公务用车运行维护费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eastAsia"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1.85</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39999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 xml:space="preserve">  其他支出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eastAsia" w:ascii="宋体" w:hAnsi="宋体" w:eastAsia="宋体" w:cs="宋体"/>
                <w:color w:val="000000"/>
                <w:sz w:val="16"/>
                <w:szCs w:val="16"/>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30399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 xml:space="preserve">  其他对个人和家庭的补助支出</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eastAsia" w:ascii="宋体" w:hAnsi="宋体" w:eastAsia="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30239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 xml:space="preserve">  其他交通费用</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eastAsia"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20.92</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rPr>
                <w:rFonts w:hint="eastAsia" w:ascii="宋体" w:hAnsi="宋体" w:eastAsia="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hint="eastAsia" w:ascii="宋体" w:hAnsi="宋体" w:eastAsia="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eastAsia" w:ascii="宋体" w:hAnsi="宋体" w:eastAsia="宋体" w:cs="宋体"/>
                <w:color w:val="000000"/>
                <w:sz w:val="16"/>
                <w:szCs w:val="16"/>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rPr>
                <w:rFonts w:hint="eastAsia" w:ascii="宋体" w:hAnsi="宋体" w:eastAsia="宋体" w:cs="宋体"/>
                <w:color w:val="000000"/>
                <w:sz w:val="16"/>
                <w:szCs w:val="16"/>
              </w:rPr>
            </w:pP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hint="eastAsia" w:ascii="宋体" w:hAnsi="宋体" w:eastAsia="宋体" w:cs="宋体"/>
                <w:color w:val="000000"/>
                <w:sz w:val="16"/>
                <w:szCs w:val="16"/>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eastAsia" w:ascii="宋体" w:hAnsi="宋体" w:eastAsia="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30240</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 xml:space="preserve">  税金及附加费用</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eastAsia" w:ascii="宋体" w:hAnsi="宋体" w:eastAsia="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rPr>
                <w:rFonts w:hint="eastAsia" w:ascii="宋体" w:hAnsi="宋体" w:eastAsia="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hint="eastAsia" w:ascii="宋体" w:hAnsi="宋体" w:eastAsia="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eastAsia" w:ascii="宋体" w:hAnsi="宋体" w:eastAsia="宋体" w:cs="宋体"/>
                <w:color w:val="000000"/>
                <w:sz w:val="16"/>
                <w:szCs w:val="16"/>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rPr>
                <w:rFonts w:hint="eastAsia" w:ascii="宋体" w:hAnsi="宋体" w:eastAsia="宋体" w:cs="宋体"/>
                <w:color w:val="000000"/>
                <w:sz w:val="16"/>
                <w:szCs w:val="16"/>
              </w:rPr>
            </w:pP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hint="eastAsia" w:ascii="宋体" w:hAnsi="宋体" w:eastAsia="宋体" w:cs="宋体"/>
                <w:color w:val="000000"/>
                <w:sz w:val="16"/>
                <w:szCs w:val="16"/>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eastAsia" w:ascii="宋体" w:hAnsi="宋体" w:eastAsia="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30299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 xml:space="preserve">  其他商品和服务支出</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eastAsia"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3.49</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rPr>
                <w:rFonts w:hint="eastAsia" w:ascii="宋体" w:hAnsi="宋体" w:eastAsia="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hint="eastAsia" w:ascii="宋体" w:hAnsi="宋体" w:eastAsia="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eastAsia" w:ascii="宋体" w:hAnsi="宋体" w:eastAsia="宋体" w:cs="宋体"/>
                <w:color w:val="000000"/>
                <w:sz w:val="16"/>
                <w:szCs w:val="16"/>
              </w:rPr>
            </w:pPr>
          </w:p>
        </w:tc>
      </w:tr>
      <w:tr>
        <w:tblPrEx>
          <w:tblCellMar>
            <w:top w:w="0" w:type="dxa"/>
            <w:left w:w="0" w:type="dxa"/>
            <w:bottom w:w="0" w:type="dxa"/>
            <w:right w:w="0" w:type="dxa"/>
          </w:tblCellMar>
        </w:tblPrEx>
        <w:trPr>
          <w:trHeight w:val="317" w:hRule="atLeast"/>
          <w:jc w:val="center"/>
        </w:trPr>
        <w:tc>
          <w:tcPr>
            <w:tcW w:w="2155"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center"/>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人员经费合计</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eastAsia"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626.71</w:t>
            </w:r>
          </w:p>
        </w:tc>
        <w:tc>
          <w:tcPr>
            <w:tcW w:w="5328"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center"/>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rPr>
              <w:t>公用经费合计</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eastAsia"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73.37</w:t>
            </w:r>
          </w:p>
        </w:tc>
      </w:tr>
      <w:tr>
        <w:tblPrEx>
          <w:tblCellMar>
            <w:top w:w="0" w:type="dxa"/>
            <w:left w:w="0" w:type="dxa"/>
            <w:bottom w:w="0" w:type="dxa"/>
            <w:right w:w="0" w:type="dxa"/>
          </w:tblCellMar>
        </w:tblPrEx>
        <w:trPr>
          <w:trHeight w:val="277" w:hRule="atLeast"/>
          <w:jc w:val="center"/>
        </w:trPr>
        <w:tc>
          <w:tcPr>
            <w:tcW w:w="9180" w:type="dxa"/>
            <w:gridSpan w:val="9"/>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 xml:space="preserve">注：本表反映部门本年度一般公共预算财政拨款基本支出明细情况。        </w:t>
            </w:r>
          </w:p>
        </w:tc>
      </w:tr>
    </w:tbl>
    <w:p>
      <w:pPr>
        <w:widowControl/>
        <w:spacing w:after="0" w:line="560" w:lineRule="exact"/>
        <w:jc w:val="left"/>
        <w:rPr>
          <w:rFonts w:hint="eastAsia" w:ascii="宋体" w:hAnsi="宋体" w:eastAsia="宋体" w:cs="宋体"/>
          <w:b/>
          <w:sz w:val="21"/>
          <w:szCs w:val="21"/>
          <w:highlight w:val="yellow"/>
        </w:rPr>
        <w:sectPr>
          <w:pgSz w:w="11906" w:h="16838"/>
          <w:pgMar w:top="2098" w:right="1474" w:bottom="1984" w:left="1588" w:header="851" w:footer="992" w:gutter="0"/>
          <w:cols w:space="0" w:num="1"/>
          <w:docGrid w:type="lines" w:linePitch="312" w:charSpace="0"/>
        </w:sectPr>
      </w:pPr>
    </w:p>
    <w:tbl>
      <w:tblPr>
        <w:tblStyle w:val="12"/>
        <w:tblW w:w="8800" w:type="dxa"/>
        <w:jc w:val="center"/>
        <w:tblLayout w:type="fixed"/>
        <w:tblCellMar>
          <w:top w:w="0" w:type="dxa"/>
          <w:left w:w="0" w:type="dxa"/>
          <w:bottom w:w="0" w:type="dxa"/>
          <w:right w:w="0" w:type="dxa"/>
        </w:tblCellMar>
      </w:tblPr>
      <w:tblGrid>
        <w:gridCol w:w="1158"/>
        <w:gridCol w:w="1527"/>
        <w:gridCol w:w="1528"/>
        <w:gridCol w:w="1530"/>
        <w:gridCol w:w="1530"/>
        <w:gridCol w:w="1527"/>
      </w:tblGrid>
      <w:tr>
        <w:tblPrEx>
          <w:tblCellMar>
            <w:top w:w="0" w:type="dxa"/>
            <w:left w:w="0" w:type="dxa"/>
            <w:bottom w:w="0" w:type="dxa"/>
            <w:right w:w="0" w:type="dxa"/>
          </w:tblCellMar>
        </w:tblPrEx>
        <w:trPr>
          <w:trHeight w:val="584" w:hRule="atLeast"/>
          <w:jc w:val="center"/>
        </w:trPr>
        <w:tc>
          <w:tcPr>
            <w:tcW w:w="8800" w:type="dxa"/>
            <w:gridSpan w:val="6"/>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一般公共预算财政拨款“三公”经费支出决算表</w:t>
            </w:r>
          </w:p>
        </w:tc>
      </w:tr>
      <w:tr>
        <w:tblPrEx>
          <w:tblCellMar>
            <w:top w:w="0" w:type="dxa"/>
            <w:left w:w="0" w:type="dxa"/>
            <w:bottom w:w="0" w:type="dxa"/>
            <w:right w:w="0" w:type="dxa"/>
          </w:tblCellMar>
        </w:tblPrEx>
        <w:trPr>
          <w:trHeight w:val="347" w:hRule="atLeast"/>
          <w:jc w:val="center"/>
        </w:trPr>
        <w:tc>
          <w:tcPr>
            <w:tcW w:w="1158"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8"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rPr>
              <w:t>公开07表</w:t>
            </w:r>
          </w:p>
        </w:tc>
      </w:tr>
      <w:tr>
        <w:tblPrEx>
          <w:tblCellMar>
            <w:top w:w="0" w:type="dxa"/>
            <w:left w:w="0" w:type="dxa"/>
            <w:bottom w:w="0" w:type="dxa"/>
            <w:right w:w="0" w:type="dxa"/>
          </w:tblCellMar>
        </w:tblPrEx>
        <w:trPr>
          <w:trHeight w:val="347" w:hRule="atLeast"/>
          <w:jc w:val="center"/>
        </w:trPr>
        <w:tc>
          <w:tcPr>
            <w:tcW w:w="7273" w:type="dxa"/>
            <w:gridSpan w:val="5"/>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rPr>
              <w:t>部门：</w:t>
            </w:r>
            <w:r>
              <w:rPr>
                <w:rFonts w:hint="eastAsia" w:ascii="宋体" w:hAnsi="宋体" w:cs="宋体"/>
                <w:color w:val="000000"/>
                <w:kern w:val="0"/>
                <w:sz w:val="20"/>
                <w:szCs w:val="20"/>
                <w:lang w:val="en-US" w:eastAsia="zh-CN"/>
              </w:rPr>
              <w:t>廊坊市大厂回族自治县审计局（本级）</w:t>
            </w:r>
          </w:p>
        </w:tc>
        <w:tc>
          <w:tcPr>
            <w:tcW w:w="1527"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482"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abs>
                <w:tab w:val="center" w:pos="4445"/>
                <w:tab w:val="left" w:pos="5625"/>
              </w:tabs>
              <w:adjustRightInd w:val="0"/>
              <w:snapToGrid w:val="0"/>
              <w:spacing w:after="0" w:line="240" w:lineRule="auto"/>
              <w:jc w:val="left"/>
              <w:textAlignment w:val="center"/>
              <w:rPr>
                <w:rFonts w:hint="eastAsia" w:ascii="宋体" w:hAnsi="宋体" w:eastAsia="宋体" w:cs="宋体"/>
                <w:color w:val="000000"/>
                <w:szCs w:val="21"/>
                <w:lang w:eastAsia="zh-CN"/>
              </w:rPr>
            </w:pPr>
            <w:r>
              <w:rPr>
                <w:rFonts w:hint="eastAsia" w:ascii="宋体" w:hAnsi="宋体" w:cs="宋体"/>
                <w:color w:val="000000"/>
                <w:kern w:val="0"/>
                <w:szCs w:val="21"/>
                <w:lang w:eastAsia="zh-CN"/>
              </w:rPr>
              <w:tab/>
            </w:r>
            <w:r>
              <w:rPr>
                <w:rFonts w:hint="eastAsia" w:ascii="宋体" w:hAnsi="宋体" w:cs="宋体"/>
                <w:color w:val="000000"/>
                <w:kern w:val="0"/>
                <w:szCs w:val="21"/>
              </w:rPr>
              <w:t>预算数</w:t>
            </w:r>
            <w:r>
              <w:rPr>
                <w:rFonts w:hint="eastAsia" w:ascii="宋体" w:hAnsi="宋体" w:cs="宋体"/>
                <w:color w:val="000000"/>
                <w:kern w:val="0"/>
                <w:szCs w:val="21"/>
                <w:lang w:eastAsia="zh-CN"/>
              </w:rPr>
              <w:tab/>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86"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6.36</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hint="eastAsia" w:ascii="宋体" w:hAnsi="宋体" w:eastAsia="宋体" w:cs="宋体"/>
                <w:color w:val="000000"/>
                <w:szCs w:val="21"/>
                <w:lang w:val="en-US" w:eastAsia="zh-CN"/>
              </w:rPr>
            </w:pPr>
            <w:r>
              <w:rPr>
                <w:rFonts w:hint="eastAsia" w:ascii="宋体" w:hAnsi="宋体" w:cs="宋体"/>
                <w:color w:val="000000"/>
                <w:szCs w:val="21"/>
                <w:lang w:val="en-US" w:eastAsia="zh-CN"/>
              </w:rPr>
              <w:t>6</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hint="eastAsia" w:ascii="宋体" w:hAnsi="宋体" w:eastAsia="宋体" w:cs="宋体"/>
                <w:color w:val="000000"/>
                <w:szCs w:val="21"/>
                <w:lang w:val="en-US" w:eastAsia="zh-CN"/>
              </w:rPr>
            </w:pPr>
            <w:r>
              <w:rPr>
                <w:rFonts w:hint="eastAsia" w:ascii="宋体" w:hAnsi="宋体" w:cs="宋体"/>
                <w:color w:val="000000"/>
                <w:szCs w:val="21"/>
                <w:lang w:val="en-US" w:eastAsia="zh-CN"/>
              </w:rPr>
              <w:t>6</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0.36</w:t>
            </w:r>
          </w:p>
        </w:tc>
      </w:tr>
      <w:tr>
        <w:tblPrEx>
          <w:tblCellMar>
            <w:top w:w="0" w:type="dxa"/>
            <w:left w:w="0" w:type="dxa"/>
            <w:bottom w:w="0" w:type="dxa"/>
            <w:right w:w="0" w:type="dxa"/>
          </w:tblCellMar>
        </w:tblPrEx>
        <w:trPr>
          <w:trHeight w:val="498"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72"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7</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8</w:t>
            </w: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9</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10</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11</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12</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1.85</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1.85</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r>
              <w:rPr>
                <w:rFonts w:hint="eastAsia" w:ascii="宋体" w:hAnsi="宋体" w:cs="宋体"/>
                <w:color w:val="000000"/>
                <w:sz w:val="16"/>
                <w:szCs w:val="16"/>
                <w:lang w:val="en-US" w:eastAsia="zh-CN"/>
              </w:rPr>
              <w:t>1.85</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782" w:hRule="atLeast"/>
          <w:jc w:val="center"/>
        </w:trPr>
        <w:tc>
          <w:tcPr>
            <w:tcW w:w="8800" w:type="dxa"/>
            <w:gridSpan w:val="6"/>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 xml:space="preserve">注：本表反映部门本年度“三公”经费支出预决算情况。其中：预算数为“三公”经费年初预算数，决算数是包括当年一般公共预算财政拨款和以前年度结转资金安排的实际支出。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296"/>
        <w:gridCol w:w="191"/>
        <w:gridCol w:w="479"/>
        <w:gridCol w:w="669"/>
        <w:gridCol w:w="376"/>
        <w:gridCol w:w="1166"/>
        <w:gridCol w:w="840"/>
        <w:gridCol w:w="1191"/>
        <w:gridCol w:w="1192"/>
        <w:gridCol w:w="1192"/>
        <w:gridCol w:w="1268"/>
      </w:tblGrid>
      <w:tr>
        <w:tblPrEx>
          <w:tblCellMar>
            <w:top w:w="0" w:type="dxa"/>
            <w:left w:w="0" w:type="dxa"/>
            <w:bottom w:w="0" w:type="dxa"/>
            <w:right w:w="0" w:type="dxa"/>
          </w:tblCellMar>
        </w:tblPrEx>
        <w:trPr>
          <w:trHeight w:val="707" w:hRule="atLeast"/>
        </w:trPr>
        <w:tc>
          <w:tcPr>
            <w:tcW w:w="8860" w:type="dxa"/>
            <w:gridSpan w:val="11"/>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黑体" w:hAnsi="宋体" w:eastAsia="黑体" w:cs="黑体"/>
                <w:color w:val="000000"/>
                <w:sz w:val="36"/>
                <w:szCs w:val="36"/>
              </w:rPr>
            </w:pPr>
            <w:r>
              <w:rPr>
                <w:rFonts w:hint="eastAsia" w:ascii="黑体" w:hAnsi="宋体" w:eastAsia="黑体" w:cs="黑体"/>
                <w:color w:val="000000"/>
                <w:kern w:val="0"/>
                <w:sz w:val="36"/>
                <w:szCs w:val="36"/>
              </w:rPr>
              <w:t>政府性基金预算财政拨款收入支出决算表</w:t>
            </w:r>
          </w:p>
        </w:tc>
      </w:tr>
      <w:tr>
        <w:tblPrEx>
          <w:tblCellMar>
            <w:top w:w="0" w:type="dxa"/>
            <w:left w:w="0" w:type="dxa"/>
            <w:bottom w:w="0" w:type="dxa"/>
            <w:right w:w="0" w:type="dxa"/>
          </w:tblCellMar>
        </w:tblPrEx>
        <w:trPr>
          <w:trHeight w:val="315" w:hRule="atLeast"/>
        </w:trPr>
        <w:tc>
          <w:tcPr>
            <w:tcW w:w="296"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91"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479"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669"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542"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84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268"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公开08表</w:t>
            </w:r>
          </w:p>
        </w:tc>
      </w:tr>
      <w:tr>
        <w:tblPrEx>
          <w:tblCellMar>
            <w:top w:w="0" w:type="dxa"/>
            <w:left w:w="0" w:type="dxa"/>
            <w:bottom w:w="0" w:type="dxa"/>
            <w:right w:w="0" w:type="dxa"/>
          </w:tblCellMar>
        </w:tblPrEx>
        <w:trPr>
          <w:trHeight w:val="411" w:hRule="atLeast"/>
        </w:trPr>
        <w:tc>
          <w:tcPr>
            <w:tcW w:w="3177" w:type="dxa"/>
            <w:gridSpan w:val="6"/>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部门：</w:t>
            </w:r>
            <w:r>
              <w:rPr>
                <w:rFonts w:hint="eastAsia" w:ascii="宋体" w:hAnsi="宋体" w:cs="宋体"/>
                <w:color w:val="000000"/>
                <w:kern w:val="0"/>
                <w:sz w:val="20"/>
                <w:szCs w:val="20"/>
                <w:lang w:val="en-US" w:eastAsia="zh-CN"/>
              </w:rPr>
              <w:t>廊坊市大厂回族自治县审计局（本级）</w:t>
            </w:r>
          </w:p>
        </w:tc>
        <w:tc>
          <w:tcPr>
            <w:tcW w:w="84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2460"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24" w:hRule="atLeast"/>
        </w:trPr>
        <w:tc>
          <w:tcPr>
            <w:tcW w:w="2011"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1166"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年初结转和结余</w:t>
            </w:r>
          </w:p>
        </w:tc>
        <w:tc>
          <w:tcPr>
            <w:tcW w:w="84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本年收入</w:t>
            </w:r>
          </w:p>
        </w:tc>
        <w:tc>
          <w:tcPr>
            <w:tcW w:w="3575"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本年支出</w:t>
            </w:r>
          </w:p>
        </w:tc>
        <w:tc>
          <w:tcPr>
            <w:tcW w:w="1268"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年末结转和结余</w:t>
            </w:r>
          </w:p>
        </w:tc>
      </w:tr>
      <w:tr>
        <w:tblPrEx>
          <w:tblCellMar>
            <w:top w:w="0" w:type="dxa"/>
            <w:left w:w="0" w:type="dxa"/>
            <w:bottom w:w="0" w:type="dxa"/>
            <w:right w:w="0" w:type="dxa"/>
          </w:tblCellMar>
        </w:tblPrEx>
        <w:trPr>
          <w:trHeight w:val="324" w:hRule="atLeast"/>
        </w:trPr>
        <w:tc>
          <w:tcPr>
            <w:tcW w:w="966"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1045" w:type="dxa"/>
            <w:gridSpan w:val="2"/>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192"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1192"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项目支出</w:t>
            </w: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045" w:type="dxa"/>
            <w:gridSpan w:val="2"/>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12" w:hRule="atLeast"/>
        </w:trPr>
        <w:tc>
          <w:tcPr>
            <w:tcW w:w="96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045" w:type="dxa"/>
            <w:gridSpan w:val="2"/>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8860" w:type="dxa"/>
            <w:gridSpan w:val="11"/>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left"/>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rPr>
              <w:t>注：本</w:t>
            </w:r>
            <w:r>
              <w:rPr>
                <w:rFonts w:hint="eastAsia" w:ascii="宋体" w:hAnsi="宋体" w:cs="宋体"/>
                <w:color w:val="000000"/>
                <w:kern w:val="0"/>
                <w:szCs w:val="21"/>
                <w:lang w:val="en-US" w:eastAsia="zh-CN"/>
              </w:rPr>
              <w:t>部门本年度无相关收入（或支出、收支及结转结余等）情况，按要求空表列示。</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tblInd w:w="0" w:type="dxa"/>
        <w:tblLayout w:type="fixed"/>
        <w:tblCellMar>
          <w:top w:w="0" w:type="dxa"/>
          <w:left w:w="0" w:type="dxa"/>
          <w:bottom w:w="0" w:type="dxa"/>
          <w:right w:w="0" w:type="dxa"/>
        </w:tblCellMar>
      </w:tblPr>
      <w:tblGrid>
        <w:gridCol w:w="442"/>
        <w:gridCol w:w="208"/>
        <w:gridCol w:w="504"/>
        <w:gridCol w:w="274"/>
        <w:gridCol w:w="894"/>
        <w:gridCol w:w="783"/>
        <w:gridCol w:w="252"/>
        <w:gridCol w:w="1646"/>
        <w:gridCol w:w="359"/>
        <w:gridCol w:w="1539"/>
        <w:gridCol w:w="1899"/>
      </w:tblGrid>
      <w:tr>
        <w:tblPrEx>
          <w:tblCellMar>
            <w:top w:w="0" w:type="dxa"/>
            <w:left w:w="0" w:type="dxa"/>
            <w:bottom w:w="0" w:type="dxa"/>
            <w:right w:w="0" w:type="dxa"/>
          </w:tblCellMar>
        </w:tblPrEx>
        <w:trPr>
          <w:trHeight w:val="656" w:hRule="atLeast"/>
        </w:trPr>
        <w:tc>
          <w:tcPr>
            <w:tcW w:w="8800" w:type="dxa"/>
            <w:gridSpan w:val="11"/>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国有资本经营预算财政拨款支出决算表</w:t>
            </w:r>
          </w:p>
        </w:tc>
      </w:tr>
      <w:tr>
        <w:tblPrEx>
          <w:tblCellMar>
            <w:top w:w="0" w:type="dxa"/>
            <w:left w:w="0" w:type="dxa"/>
            <w:bottom w:w="0" w:type="dxa"/>
            <w:right w:w="0" w:type="dxa"/>
          </w:tblCellMar>
        </w:tblPrEx>
        <w:trPr>
          <w:trHeight w:val="335" w:hRule="atLeast"/>
        </w:trPr>
        <w:tc>
          <w:tcPr>
            <w:tcW w:w="442"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8"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04"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16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03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0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公开09表</w:t>
            </w:r>
          </w:p>
        </w:tc>
      </w:tr>
      <w:tr>
        <w:tblPrEx>
          <w:tblCellMar>
            <w:top w:w="0" w:type="dxa"/>
            <w:left w:w="0" w:type="dxa"/>
            <w:bottom w:w="0" w:type="dxa"/>
            <w:right w:w="0" w:type="dxa"/>
          </w:tblCellMar>
        </w:tblPrEx>
        <w:trPr>
          <w:trHeight w:val="335" w:hRule="atLeast"/>
        </w:trPr>
        <w:tc>
          <w:tcPr>
            <w:tcW w:w="3357" w:type="dxa"/>
            <w:gridSpan w:val="7"/>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rPr>
              <w:t>编制单位：</w:t>
            </w:r>
            <w:r>
              <w:rPr>
                <w:rFonts w:hint="eastAsia" w:ascii="宋体" w:hAnsi="宋体" w:cs="宋体"/>
                <w:color w:val="000000"/>
                <w:kern w:val="0"/>
                <w:sz w:val="20"/>
                <w:szCs w:val="20"/>
                <w:lang w:val="en-US" w:eastAsia="zh-CN"/>
              </w:rPr>
              <w:t>廊坊市大厂回族自治县审计局（本级）</w:t>
            </w:r>
          </w:p>
        </w:tc>
        <w:tc>
          <w:tcPr>
            <w:tcW w:w="200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trHeight w:val="358" w:hRule="atLeast"/>
        </w:trPr>
        <w:tc>
          <w:tcPr>
            <w:tcW w:w="3105" w:type="dxa"/>
            <w:gridSpan w:val="6"/>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科目</w:t>
            </w:r>
          </w:p>
        </w:tc>
        <w:tc>
          <w:tcPr>
            <w:tcW w:w="5695" w:type="dxa"/>
            <w:gridSpan w:val="5"/>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本年支出</w:t>
            </w:r>
          </w:p>
        </w:tc>
      </w:tr>
      <w:tr>
        <w:tblPrEx>
          <w:tblCellMar>
            <w:top w:w="0" w:type="dxa"/>
            <w:left w:w="0" w:type="dxa"/>
            <w:bottom w:w="0" w:type="dxa"/>
            <w:right w:w="0" w:type="dxa"/>
          </w:tblCellMar>
        </w:tblPrEx>
        <w:trPr>
          <w:trHeight w:val="82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功能分类科目编码</w:t>
            </w: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科目名称</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小计</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基本支出</w:t>
            </w: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项目支出</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栏次</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1</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2</w:t>
            </w: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3</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合计</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58" w:hRule="atLeast"/>
        </w:trPr>
        <w:tc>
          <w:tcPr>
            <w:tcW w:w="8800" w:type="dxa"/>
            <w:gridSpan w:val="11"/>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rPr>
              <w:t>注：</w:t>
            </w:r>
            <w:r>
              <w:rPr>
                <w:rFonts w:hint="eastAsia" w:ascii="宋体" w:hAnsi="宋体" w:cs="宋体"/>
                <w:color w:val="000000"/>
                <w:kern w:val="0"/>
                <w:szCs w:val="21"/>
              </w:rPr>
              <w:t>本</w:t>
            </w:r>
            <w:r>
              <w:rPr>
                <w:rFonts w:hint="eastAsia" w:ascii="宋体" w:hAnsi="宋体" w:cs="宋体"/>
                <w:color w:val="000000"/>
                <w:kern w:val="0"/>
                <w:szCs w:val="21"/>
                <w:lang w:val="en-US" w:eastAsia="zh-CN"/>
              </w:rPr>
              <w:t>部门本年度无相关收入（或支出、收支及结转结余等）情况，按要求空表列示。</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901"/>
        <w:gridCol w:w="1203"/>
        <w:gridCol w:w="790"/>
        <w:gridCol w:w="362"/>
        <w:gridCol w:w="911"/>
        <w:gridCol w:w="241"/>
        <w:gridCol w:w="1032"/>
        <w:gridCol w:w="120"/>
        <w:gridCol w:w="1154"/>
        <w:gridCol w:w="1226"/>
      </w:tblGrid>
      <w:tr>
        <w:tblPrEx>
          <w:tblCellMar>
            <w:top w:w="0" w:type="dxa"/>
            <w:left w:w="0" w:type="dxa"/>
            <w:bottom w:w="0" w:type="dxa"/>
            <w:right w:w="0" w:type="dxa"/>
          </w:tblCellMar>
        </w:tblPrEx>
        <w:trPr>
          <w:trHeight w:val="635" w:hRule="atLeast"/>
        </w:trPr>
        <w:tc>
          <w:tcPr>
            <w:tcW w:w="8940" w:type="dxa"/>
            <w:gridSpan w:val="10"/>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政府采购情况表</w:t>
            </w:r>
          </w:p>
        </w:tc>
      </w:tr>
      <w:tr>
        <w:tblPrEx>
          <w:tblCellMar>
            <w:top w:w="0" w:type="dxa"/>
            <w:left w:w="0" w:type="dxa"/>
            <w:bottom w:w="0" w:type="dxa"/>
            <w:right w:w="0" w:type="dxa"/>
          </w:tblCellMar>
        </w:tblPrEx>
        <w:trPr>
          <w:trHeight w:val="326" w:hRule="atLeast"/>
        </w:trPr>
        <w:tc>
          <w:tcPr>
            <w:tcW w:w="1901"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03"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79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2500" w:type="dxa"/>
            <w:gridSpan w:val="3"/>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公开10表</w:t>
            </w:r>
          </w:p>
        </w:tc>
      </w:tr>
      <w:tr>
        <w:tblPrEx>
          <w:tblCellMar>
            <w:top w:w="0" w:type="dxa"/>
            <w:left w:w="0" w:type="dxa"/>
            <w:bottom w:w="0" w:type="dxa"/>
            <w:right w:w="0" w:type="dxa"/>
          </w:tblCellMar>
        </w:tblPrEx>
        <w:trPr>
          <w:trHeight w:val="360" w:hRule="atLeast"/>
        </w:trPr>
        <w:tc>
          <w:tcPr>
            <w:tcW w:w="6440" w:type="dxa"/>
            <w:gridSpan w:val="7"/>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编制单位：</w:t>
            </w:r>
            <w:r>
              <w:rPr>
                <w:rFonts w:hint="eastAsia" w:ascii="宋体" w:hAnsi="宋体" w:cs="宋体"/>
                <w:color w:val="000000"/>
                <w:kern w:val="0"/>
                <w:sz w:val="20"/>
                <w:szCs w:val="20"/>
                <w:lang w:val="en-US" w:eastAsia="zh-CN"/>
              </w:rPr>
              <w:t>廊坊市大厂回族自治县审计局（本级）</w:t>
            </w:r>
          </w:p>
        </w:tc>
        <w:tc>
          <w:tcPr>
            <w:tcW w:w="2500" w:type="dxa"/>
            <w:gridSpan w:val="3"/>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09" w:hRule="atLeast"/>
        </w:trPr>
        <w:tc>
          <w:tcPr>
            <w:tcW w:w="1901"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7039" w:type="dxa"/>
            <w:gridSpan w:val="9"/>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采购计划金额</w:t>
            </w:r>
          </w:p>
        </w:tc>
      </w:tr>
      <w:tr>
        <w:tblPrEx>
          <w:tblCellMar>
            <w:top w:w="0" w:type="dxa"/>
            <w:left w:w="0" w:type="dxa"/>
            <w:bottom w:w="0" w:type="dxa"/>
            <w:right w:w="0" w:type="dxa"/>
          </w:tblCellMar>
        </w:tblPrEx>
        <w:trPr>
          <w:trHeight w:val="398" w:hRule="atLeast"/>
        </w:trPr>
        <w:tc>
          <w:tcPr>
            <w:tcW w:w="190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473" w:hRule="atLeast"/>
        </w:trPr>
        <w:tc>
          <w:tcPr>
            <w:tcW w:w="190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       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09" w:hRule="atLeast"/>
        </w:trPr>
        <w:tc>
          <w:tcPr>
            <w:tcW w:w="1901" w:type="dxa"/>
            <w:vMerge w:val="restar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7039" w:type="dxa"/>
            <w:gridSpan w:val="9"/>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实际采购金额</w:t>
            </w:r>
          </w:p>
        </w:tc>
      </w:tr>
      <w:tr>
        <w:tblPrEx>
          <w:tblCellMar>
            <w:top w:w="0" w:type="dxa"/>
            <w:left w:w="0" w:type="dxa"/>
            <w:bottom w:w="0" w:type="dxa"/>
            <w:right w:w="0" w:type="dxa"/>
          </w:tblCellMar>
        </w:tblPrEx>
        <w:trPr>
          <w:trHeight w:val="350" w:hRule="atLeast"/>
        </w:trPr>
        <w:tc>
          <w:tcPr>
            <w:tcW w:w="1901" w:type="dxa"/>
            <w:vMerge w:val="continue"/>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543" w:hRule="atLeast"/>
        </w:trPr>
        <w:tc>
          <w:tcPr>
            <w:tcW w:w="1901" w:type="dxa"/>
            <w:vMerge w:val="continue"/>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09"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       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98" w:hRule="atLeast"/>
        </w:trPr>
        <w:tc>
          <w:tcPr>
            <w:tcW w:w="8940" w:type="dxa"/>
            <w:gridSpan w:val="10"/>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注：本</w:t>
            </w:r>
            <w:r>
              <w:rPr>
                <w:rFonts w:hint="eastAsia" w:ascii="宋体" w:hAnsi="宋体" w:cs="宋体"/>
                <w:color w:val="000000"/>
                <w:kern w:val="0"/>
                <w:szCs w:val="21"/>
                <w:lang w:val="en-US" w:eastAsia="zh-CN"/>
              </w:rPr>
              <w:t>部门本年度无相关收入（或支出、收支及结转结余等）情况，按要求空表列示</w:t>
            </w:r>
            <w:r>
              <w:rPr>
                <w:rFonts w:hint="eastAsia" w:ascii="宋体" w:hAnsi="宋体" w:cs="宋体"/>
                <w:color w:val="000000"/>
                <w:kern w:val="0"/>
                <w:szCs w:val="21"/>
              </w:rPr>
              <w:t xml:space="preserve">     </w:t>
            </w:r>
          </w:p>
        </w:tc>
      </w:tr>
    </w:tbl>
    <w:p>
      <w:pPr>
        <w:widowControl/>
        <w:spacing w:after="0" w:line="560" w:lineRule="exact"/>
        <w:jc w:val="left"/>
        <w:rPr>
          <w:rFonts w:ascii="仿宋_GB2312" w:eastAsia="仿宋_GB2312" w:hAnsiTheme="majorEastAsia"/>
          <w:b/>
          <w:sz w:val="28"/>
          <w:szCs w:val="28"/>
          <w:highlight w:val="yellow"/>
        </w:rPr>
      </w:pPr>
    </w:p>
    <w:p/>
    <w:p/>
    <w:p/>
    <w:p/>
    <w:p>
      <w:pPr>
        <w:tabs>
          <w:tab w:val="left" w:pos="1086"/>
        </w:tabs>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r>
        <w:rPr>
          <w:rFonts w:hint="eastAsia"/>
        </w:rPr>
        <w:tab/>
      </w:r>
    </w:p>
    <w:p>
      <w:pPr>
        <w:widowControl/>
        <w:spacing w:line="1200" w:lineRule="exact"/>
        <w:jc w:val="center"/>
        <w:rPr>
          <w:rFonts w:hAnsi="宋体" w:asciiTheme="minorEastAsia" w:eastAsiaTheme="minorEastAsia"/>
          <w:color w:val="000000" w:themeColor="text1"/>
          <w:sz w:val="96"/>
          <w:szCs w:val="96"/>
          <w14:textFill>
            <w14:solidFill>
              <w14:schemeClr w14:val="tx1"/>
            </w14:solidFill>
          </w14:textFill>
        </w:rPr>
      </w:pPr>
    </w:p>
    <w:p>
      <w:pPr>
        <w:widowControl/>
        <w:spacing w:line="1200" w:lineRule="exact"/>
        <w:jc w:val="center"/>
        <w:rPr>
          <w:rFonts w:hAnsi="宋体" w:asciiTheme="minorEastAsia" w:eastAsiaTheme="minorEastAsia"/>
          <w:color w:val="000000" w:themeColor="text1"/>
          <w:sz w:val="96"/>
          <w:szCs w:val="96"/>
          <w14:textFill>
            <w14:solidFill>
              <w14:schemeClr w14:val="tx1"/>
            </w14:solidFill>
          </w14:textFill>
        </w:rPr>
      </w:pPr>
    </w:p>
    <w:p>
      <w:pPr>
        <w:widowControl/>
        <w:spacing w:line="1200" w:lineRule="exact"/>
        <w:jc w:val="center"/>
        <w:rPr>
          <w:rFonts w:hAnsi="宋体" w:asciiTheme="minorEastAsia" w:eastAsiaTheme="minorEastAsia"/>
          <w:color w:val="000000" w:themeColor="text1"/>
          <w:sz w:val="96"/>
          <w:szCs w:val="96"/>
          <w14:textFill>
            <w14:solidFill>
              <w14:schemeClr w14:val="tx1"/>
            </w14:solidFill>
          </w14:textFill>
        </w:rPr>
      </w:pPr>
    </w:p>
    <w:p>
      <w:pPr>
        <w:widowControl/>
        <w:spacing w:line="1200" w:lineRule="exact"/>
        <w:jc w:val="center"/>
        <w:rPr>
          <w:rFonts w:hAnsi="宋体" w:asciiTheme="minorEastAsia" w:eastAsiaTheme="minorEastAsia"/>
          <w:color w:val="000000" w:themeColor="text1"/>
          <w:sz w:val="96"/>
          <w:szCs w:val="96"/>
          <w14:textFill>
            <w14:solidFill>
              <w14:schemeClr w14:val="tx1"/>
            </w14:solidFill>
          </w14:textFill>
        </w:rPr>
      </w:pPr>
      <w:r>
        <w:rPr>
          <w:rFonts w:hint="eastAsia" w:hAnsi="宋体" w:asciiTheme="minorEastAsia" w:eastAsiaTheme="minorEastAsia"/>
          <w:color w:val="000000" w:themeColor="text1"/>
          <w:sz w:val="96"/>
          <w:szCs w:val="96"/>
          <w14:textFill>
            <w14:solidFill>
              <w14:schemeClr w14:val="tx1"/>
            </w14:solidFill>
          </w14:textFill>
        </w:rPr>
        <w:t>第三部分</w:t>
      </w:r>
    </w:p>
    <w:p>
      <w:pPr>
        <w:widowControl/>
        <w:spacing w:line="1200" w:lineRule="exact"/>
        <w:jc w:val="center"/>
        <w:rPr>
          <w:color w:val="000000" w:themeColor="text1"/>
          <w:sz w:val="96"/>
          <w:szCs w:val="96"/>
          <w14:textFill>
            <w14:solidFill>
              <w14:schemeClr w14:val="tx1"/>
            </w14:solidFill>
          </w14:textFill>
        </w:rPr>
      </w:pPr>
      <w:r>
        <w:rPr>
          <w:rFonts w:hint="eastAsia" w:hAnsi="宋体" w:asciiTheme="minorEastAsia" w:eastAsiaTheme="minorEastAsia"/>
          <w:color w:val="000000" w:themeColor="text1"/>
          <w:sz w:val="96"/>
          <w:szCs w:val="96"/>
          <w14:textFill>
            <w14:solidFill>
              <w14:schemeClr w14:val="tx1"/>
            </w14:solidFill>
          </w14:textFill>
        </w:rPr>
        <w:t>部门决算情况说明</w:t>
      </w: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p>
    <w:p>
      <w:pPr>
        <w:pStyle w:val="3"/>
        <w:spacing w:before="0" w:after="0" w:line="580" w:lineRule="exact"/>
        <w:ind w:firstLine="640" w:firstLineChars="200"/>
        <w:rPr>
          <w:rFonts w:ascii="黑体" w:eastAsia="黑体"/>
          <w:b w:val="0"/>
          <w:bCs w:val="0"/>
        </w:rPr>
      </w:pPr>
      <w:r>
        <w:rPr>
          <w:rFonts w:hint="eastAsia" w:ascii="黑体" w:eastAsia="黑体"/>
          <w:b w:val="0"/>
          <w:bCs w:val="0"/>
        </w:rPr>
        <w:t>一、收入</w:t>
      </w:r>
      <w:r>
        <w:rPr>
          <w:rFonts w:hint="eastAsia" w:ascii="黑体" w:eastAsia="黑体" w:cs="黑体" w:hAnsiTheme="minorHAnsi"/>
          <w:b w:val="0"/>
          <w:bCs w:val="0"/>
          <w:kern w:val="0"/>
        </w:rPr>
        <w:t>支出</w:t>
      </w:r>
      <w:r>
        <w:rPr>
          <w:rFonts w:hint="eastAsia" w:ascii="黑体" w:eastAsia="黑体"/>
          <w:b w:val="0"/>
          <w:bCs w:val="0"/>
        </w:rPr>
        <w:t>决算总体情况说明</w:t>
      </w:r>
    </w:p>
    <w:p>
      <w:pPr>
        <w:widowControl/>
        <w:spacing w:before="150" w:line="420" w:lineRule="atLeast"/>
        <w:ind w:firstLine="560"/>
        <w:jc w:val="left"/>
        <w:rPr>
          <w:rFonts w:ascii="仿宋" w:hAnsi="仿宋" w:eastAsia="仿宋"/>
          <w:sz w:val="32"/>
          <w:szCs w:val="32"/>
        </w:rPr>
      </w:pPr>
      <w:r>
        <w:rPr>
          <w:rFonts w:hint="eastAsia" w:ascii="仿宋" w:hAnsi="仿宋" w:eastAsia="仿宋" w:cs="仿宋_GB2312"/>
          <w:sz w:val="32"/>
          <w:szCs w:val="32"/>
        </w:rPr>
        <w:t>本部门</w:t>
      </w:r>
      <w:r>
        <w:rPr>
          <w:rFonts w:ascii="仿宋" w:hAnsi="仿宋" w:eastAsia="仿宋" w:cs="仿宋_GB2312"/>
          <w:sz w:val="32"/>
          <w:szCs w:val="32"/>
        </w:rPr>
        <w:t>201</w:t>
      </w:r>
      <w:r>
        <w:rPr>
          <w:rFonts w:hint="eastAsia" w:ascii="仿宋" w:hAnsi="仿宋" w:eastAsia="仿宋" w:cs="仿宋_GB2312"/>
          <w:sz w:val="32"/>
          <w:szCs w:val="32"/>
        </w:rPr>
        <w:t>8年度年初结转和结余</w:t>
      </w:r>
      <w:r>
        <w:rPr>
          <w:rFonts w:hint="eastAsia" w:ascii="仿宋" w:hAnsi="仿宋" w:eastAsia="仿宋" w:cs="仿宋_GB2312"/>
          <w:sz w:val="32"/>
          <w:szCs w:val="32"/>
          <w:lang w:val="en-US" w:eastAsia="zh-CN"/>
        </w:rPr>
        <w:t>45.56</w:t>
      </w:r>
      <w:r>
        <w:rPr>
          <w:rFonts w:hint="eastAsia" w:ascii="仿宋" w:hAnsi="仿宋" w:eastAsia="仿宋" w:cs="仿宋_GB2312"/>
          <w:sz w:val="32"/>
          <w:szCs w:val="32"/>
        </w:rPr>
        <w:t>万元，本年</w:t>
      </w:r>
      <w:r>
        <w:rPr>
          <w:rFonts w:hint="eastAsia" w:ascii="仿宋" w:hAnsi="仿宋" w:eastAsia="仿宋"/>
          <w:sz w:val="32"/>
          <w:szCs w:val="32"/>
        </w:rPr>
        <w:t>收入</w:t>
      </w:r>
      <w:r>
        <w:rPr>
          <w:rFonts w:hint="eastAsia" w:ascii="仿宋" w:hAnsi="仿宋" w:eastAsia="仿宋"/>
          <w:sz w:val="32"/>
          <w:szCs w:val="32"/>
          <w:lang w:val="en-US" w:eastAsia="zh-CN"/>
        </w:rPr>
        <w:t>957.55</w:t>
      </w:r>
      <w:r>
        <w:rPr>
          <w:rFonts w:hint="eastAsia" w:ascii="仿宋" w:hAnsi="仿宋" w:eastAsia="仿宋"/>
          <w:sz w:val="32"/>
          <w:szCs w:val="32"/>
        </w:rPr>
        <w:t>万元，</w:t>
      </w:r>
      <w:r>
        <w:rPr>
          <w:rFonts w:hint="eastAsia" w:ascii="仿宋" w:hAnsi="仿宋" w:eastAsia="仿宋" w:cs="仿宋"/>
          <w:bCs/>
          <w:sz w:val="32"/>
          <w:szCs w:val="32"/>
        </w:rPr>
        <w:t>本年支出</w:t>
      </w:r>
      <w:r>
        <w:rPr>
          <w:rFonts w:hint="eastAsia" w:ascii="仿宋" w:hAnsi="仿宋" w:eastAsia="仿宋" w:cs="仿宋"/>
          <w:bCs/>
          <w:sz w:val="32"/>
          <w:szCs w:val="32"/>
          <w:lang w:val="en-US" w:eastAsia="zh-CN"/>
        </w:rPr>
        <w:t>995.1</w:t>
      </w:r>
      <w:r>
        <w:rPr>
          <w:rFonts w:hint="eastAsia" w:ascii="仿宋" w:hAnsi="仿宋" w:eastAsia="仿宋" w:cs="仿宋"/>
          <w:bCs/>
          <w:sz w:val="32"/>
          <w:szCs w:val="32"/>
        </w:rPr>
        <w:t>万元，年末结转和结余</w:t>
      </w:r>
      <w:r>
        <w:rPr>
          <w:rFonts w:hint="eastAsia" w:ascii="仿宋" w:hAnsi="仿宋" w:eastAsia="仿宋" w:cs="仿宋"/>
          <w:bCs/>
          <w:sz w:val="32"/>
          <w:szCs w:val="32"/>
          <w:lang w:val="en-US" w:eastAsia="zh-CN"/>
        </w:rPr>
        <w:t>8.01</w:t>
      </w:r>
      <w:r>
        <w:rPr>
          <w:rFonts w:hint="eastAsia" w:ascii="仿宋" w:hAnsi="仿宋" w:eastAsia="仿宋" w:cs="仿宋"/>
          <w:bCs/>
          <w:sz w:val="32"/>
          <w:szCs w:val="32"/>
        </w:rPr>
        <w:t>万元。与2017年度决算相比，本年</w:t>
      </w:r>
      <w:r>
        <w:rPr>
          <w:rFonts w:hint="eastAsia" w:ascii="仿宋" w:hAnsi="仿宋" w:eastAsia="仿宋"/>
          <w:sz w:val="32"/>
          <w:szCs w:val="32"/>
        </w:rPr>
        <w:t>收入</w:t>
      </w:r>
      <w:r>
        <w:rPr>
          <w:rFonts w:hint="eastAsia" w:ascii="仿宋" w:hAnsi="仿宋" w:eastAsia="仿宋"/>
          <w:sz w:val="32"/>
          <w:szCs w:val="32"/>
          <w:lang w:val="en-US" w:eastAsia="zh-CN"/>
        </w:rPr>
        <w:t>增加100.8</w:t>
      </w:r>
      <w:r>
        <w:rPr>
          <w:rFonts w:hint="eastAsia" w:ascii="仿宋" w:hAnsi="仿宋" w:eastAsia="仿宋" w:cs="宋体"/>
          <w:sz w:val="32"/>
          <w:szCs w:val="32"/>
        </w:rPr>
        <w:t>万元，</w:t>
      </w:r>
      <w:r>
        <w:rPr>
          <w:rFonts w:hint="eastAsia" w:ascii="仿宋" w:hAnsi="仿宋" w:eastAsia="仿宋" w:cs="宋体"/>
          <w:sz w:val="32"/>
          <w:szCs w:val="32"/>
          <w:lang w:val="en-US" w:eastAsia="zh-CN"/>
        </w:rPr>
        <w:t>增长10.53%</w:t>
      </w:r>
      <w:r>
        <w:rPr>
          <w:rFonts w:hint="eastAsia" w:ascii="仿宋" w:hAnsi="仿宋" w:eastAsia="仿宋" w:cs="宋体"/>
          <w:sz w:val="32"/>
          <w:szCs w:val="32"/>
        </w:rPr>
        <w:t>，</w:t>
      </w:r>
      <w:r>
        <w:rPr>
          <w:rFonts w:hint="eastAsia" w:ascii="仿宋" w:hAnsi="仿宋" w:eastAsia="仿宋" w:cs="宋体"/>
          <w:sz w:val="32"/>
          <w:szCs w:val="32"/>
          <w:lang w:val="en-US" w:eastAsia="zh-CN"/>
        </w:rPr>
        <w:t>增加</w:t>
      </w:r>
      <w:r>
        <w:rPr>
          <w:rFonts w:hint="eastAsia" w:ascii="仿宋" w:hAnsi="仿宋" w:eastAsia="仿宋" w:cs="宋体"/>
          <w:sz w:val="32"/>
          <w:szCs w:val="32"/>
        </w:rPr>
        <w:t>的主要原因为人员</w:t>
      </w:r>
      <w:r>
        <w:rPr>
          <w:rFonts w:hint="eastAsia" w:ascii="仿宋" w:hAnsi="仿宋" w:eastAsia="仿宋" w:cs="宋体"/>
          <w:sz w:val="32"/>
          <w:szCs w:val="32"/>
          <w:lang w:val="en-US" w:eastAsia="zh-CN"/>
        </w:rPr>
        <w:t>经费的增加</w:t>
      </w:r>
      <w:r>
        <w:rPr>
          <w:rFonts w:hint="eastAsia" w:ascii="仿宋" w:hAnsi="仿宋" w:eastAsia="仿宋" w:cs="宋体"/>
          <w:sz w:val="32"/>
          <w:szCs w:val="32"/>
        </w:rPr>
        <w:t>、单位项目</w:t>
      </w:r>
      <w:r>
        <w:rPr>
          <w:rFonts w:hint="eastAsia" w:ascii="仿宋" w:hAnsi="仿宋" w:eastAsia="仿宋" w:cs="宋体"/>
          <w:sz w:val="32"/>
          <w:szCs w:val="32"/>
          <w:lang w:val="en-US" w:eastAsia="zh-CN"/>
        </w:rPr>
        <w:t>增多</w:t>
      </w:r>
      <w:r>
        <w:rPr>
          <w:rFonts w:hint="eastAsia" w:ascii="仿宋" w:hAnsi="仿宋" w:eastAsia="仿宋"/>
          <w:sz w:val="32"/>
          <w:szCs w:val="32"/>
        </w:rPr>
        <w:t>；本年支出</w:t>
      </w:r>
      <w:r>
        <w:rPr>
          <w:rFonts w:hint="eastAsia" w:ascii="仿宋" w:hAnsi="仿宋" w:eastAsia="仿宋"/>
          <w:sz w:val="32"/>
          <w:szCs w:val="32"/>
          <w:lang w:val="en-US" w:eastAsia="zh-CN"/>
        </w:rPr>
        <w:t>增加107.74</w:t>
      </w:r>
      <w:r>
        <w:rPr>
          <w:rFonts w:hint="eastAsia" w:ascii="仿宋" w:hAnsi="仿宋" w:eastAsia="仿宋"/>
          <w:sz w:val="32"/>
          <w:szCs w:val="32"/>
        </w:rPr>
        <w:t>万元，</w:t>
      </w:r>
      <w:r>
        <w:rPr>
          <w:rFonts w:hint="eastAsia" w:ascii="仿宋" w:hAnsi="仿宋" w:eastAsia="仿宋"/>
          <w:sz w:val="32"/>
          <w:szCs w:val="32"/>
          <w:lang w:val="en-US" w:eastAsia="zh-CN"/>
        </w:rPr>
        <w:t>增长10.83%</w:t>
      </w:r>
      <w:r>
        <w:rPr>
          <w:rFonts w:hint="eastAsia" w:ascii="仿宋" w:hAnsi="仿宋" w:eastAsia="仿宋"/>
          <w:sz w:val="32"/>
          <w:szCs w:val="32"/>
        </w:rPr>
        <w:t>，</w:t>
      </w:r>
      <w:r>
        <w:rPr>
          <w:rFonts w:hint="eastAsia" w:ascii="仿宋" w:hAnsi="仿宋" w:eastAsia="仿宋"/>
          <w:sz w:val="32"/>
          <w:szCs w:val="32"/>
          <w:lang w:val="en-US" w:eastAsia="zh-CN"/>
        </w:rPr>
        <w:t>增长的</w:t>
      </w:r>
      <w:r>
        <w:rPr>
          <w:rFonts w:hint="eastAsia" w:ascii="仿宋" w:hAnsi="仿宋" w:eastAsia="仿宋"/>
          <w:sz w:val="32"/>
          <w:szCs w:val="32"/>
        </w:rPr>
        <w:t>主要原因为人员经费</w:t>
      </w:r>
      <w:r>
        <w:rPr>
          <w:rFonts w:hint="eastAsia" w:ascii="仿宋" w:hAnsi="仿宋" w:eastAsia="仿宋"/>
          <w:sz w:val="32"/>
          <w:szCs w:val="32"/>
          <w:lang w:val="en-US" w:eastAsia="zh-CN"/>
        </w:rPr>
        <w:t>的增加以及项目支出增多</w:t>
      </w:r>
      <w:r>
        <w:rPr>
          <w:rFonts w:hint="eastAsia" w:ascii="仿宋" w:hAnsi="仿宋" w:eastAsia="仿宋"/>
          <w:sz w:val="32"/>
          <w:szCs w:val="32"/>
        </w:rPr>
        <w:t>。</w:t>
      </w:r>
    </w:p>
    <w:p>
      <w:pPr>
        <w:pStyle w:val="3"/>
        <w:spacing w:before="0" w:after="0" w:line="580" w:lineRule="exact"/>
        <w:ind w:firstLine="640" w:firstLineChars="200"/>
        <w:rPr>
          <w:rFonts w:ascii="黑体" w:eastAsia="黑体"/>
          <w:b w:val="0"/>
          <w:bCs w:val="0"/>
        </w:rPr>
      </w:pPr>
      <w:r>
        <w:rPr>
          <w:rFonts w:hint="eastAsia" w:ascii="黑体" w:eastAsia="黑体"/>
          <w:b w:val="0"/>
          <w:bCs w:val="0"/>
        </w:rPr>
        <w:t>二、收入决算情况说明</w:t>
      </w:r>
    </w:p>
    <w:p>
      <w:pPr>
        <w:adjustRightInd w:val="0"/>
        <w:snapToGrid w:val="0"/>
        <w:spacing w:after="0" w:line="580" w:lineRule="exact"/>
        <w:ind w:firstLine="640" w:firstLineChars="200"/>
        <w:rPr>
          <w:rFonts w:eastAsia="仿宋_GB2312"/>
          <w:sz w:val="32"/>
          <w:szCs w:val="32"/>
        </w:rPr>
      </w:pPr>
      <w:r>
        <w:rPr>
          <w:rFonts w:hint="eastAsia" w:ascii="仿宋_GB2312" w:eastAsia="仿宋_GB2312" w:cs="DengXian-Regular"/>
          <w:sz w:val="32"/>
          <w:szCs w:val="32"/>
        </w:rPr>
        <w:t>本部门2018年度本年收入合计</w:t>
      </w:r>
      <w:r>
        <w:rPr>
          <w:rFonts w:hint="eastAsia" w:ascii="仿宋_GB2312" w:eastAsia="仿宋_GB2312" w:cs="DengXian-Regular"/>
          <w:sz w:val="32"/>
          <w:szCs w:val="32"/>
          <w:lang w:val="en-US" w:eastAsia="zh-CN"/>
        </w:rPr>
        <w:t>957.55</w:t>
      </w:r>
      <w:r>
        <w:rPr>
          <w:rFonts w:hint="eastAsia" w:ascii="仿宋_GB2312" w:eastAsia="仿宋_GB2312" w:cs="DengXian-Regular"/>
          <w:sz w:val="32"/>
          <w:szCs w:val="32"/>
        </w:rPr>
        <w:t>万元，其中：财政拨款收入</w:t>
      </w:r>
      <w:r>
        <w:rPr>
          <w:rFonts w:hint="eastAsia" w:ascii="仿宋_GB2312" w:eastAsia="仿宋_GB2312" w:cs="DengXian-Regular"/>
          <w:sz w:val="32"/>
          <w:szCs w:val="32"/>
          <w:lang w:val="en-US" w:eastAsia="zh-CN"/>
        </w:rPr>
        <w:t>957.55</w:t>
      </w:r>
      <w:r>
        <w:rPr>
          <w:rFonts w:hint="eastAsia" w:ascii="仿宋_GB2312" w:eastAsia="仿宋_GB2312" w:cs="DengXian-Regular"/>
          <w:sz w:val="32"/>
          <w:szCs w:val="32"/>
        </w:rPr>
        <w:t>万元，占100%；事业收入0万元，占0%；经营收入0万元，占0%；其他收入0万元，占0%。如图所示：</w:t>
      </w:r>
    </w:p>
    <w:p>
      <w:pPr>
        <w:adjustRightInd w:val="0"/>
        <w:snapToGrid w:val="0"/>
        <w:spacing w:line="584" w:lineRule="exact"/>
        <w:jc w:val="both"/>
        <w:rPr>
          <w:rFonts w:hint="eastAsia" w:eastAsia="仿宋_GB2312"/>
          <w:sz w:val="32"/>
          <w:szCs w:val="32"/>
          <w:lang w:eastAsia="zh-CN"/>
        </w:rPr>
      </w:pPr>
      <w:r>
        <w:rPr>
          <w:rFonts w:hint="eastAsia" w:eastAsia="仿宋_GB2312"/>
          <w:sz w:val="32"/>
          <w:szCs w:val="32"/>
          <w:lang w:eastAsia="zh-CN"/>
        </w:rPr>
        <w:drawing>
          <wp:anchor distT="0" distB="0" distL="114300" distR="114300" simplePos="0" relativeHeight="251660288" behindDoc="0" locked="0" layoutInCell="1" allowOverlap="1">
            <wp:simplePos x="0" y="0"/>
            <wp:positionH relativeFrom="column">
              <wp:posOffset>491490</wp:posOffset>
            </wp:positionH>
            <wp:positionV relativeFrom="paragraph">
              <wp:posOffset>459740</wp:posOffset>
            </wp:positionV>
            <wp:extent cx="4389755" cy="2832735"/>
            <wp:effectExtent l="4445" t="4445" r="12700" b="7620"/>
            <wp:wrapTopAndBottom/>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anchor>
        </w:drawing>
      </w:r>
    </w:p>
    <w:p>
      <w:pPr>
        <w:adjustRightInd w:val="0"/>
        <w:snapToGrid w:val="0"/>
        <w:spacing w:line="584" w:lineRule="exact"/>
        <w:ind w:firstLine="640" w:firstLineChars="200"/>
        <w:jc w:val="both"/>
        <w:rPr>
          <w:rFonts w:hint="eastAsia" w:ascii="黑体" w:eastAsia="黑体" w:hAnsiTheme="majorHAnsi" w:cstheme="majorBidi"/>
          <w:b w:val="0"/>
          <w:bCs w:val="0"/>
          <w:kern w:val="2"/>
          <w:sz w:val="32"/>
          <w:szCs w:val="32"/>
          <w:lang w:val="en-US" w:eastAsia="zh-CN" w:bidi="ar-SA"/>
        </w:rPr>
      </w:pPr>
      <w:r>
        <w:rPr>
          <w:rFonts w:hint="eastAsia" w:ascii="黑体" w:eastAsia="黑体" w:hAnsiTheme="majorHAnsi" w:cstheme="majorBidi"/>
          <w:b w:val="0"/>
          <w:bCs w:val="0"/>
          <w:kern w:val="2"/>
          <w:sz w:val="32"/>
          <w:szCs w:val="32"/>
          <w:lang w:val="en-US" w:eastAsia="zh-CN" w:bidi="ar-SA"/>
        </w:rPr>
        <w:t>三、支出决算情况说明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本部门2018年度本年支出合计</w:t>
      </w:r>
      <w:r>
        <w:rPr>
          <w:rFonts w:hint="eastAsia" w:ascii="仿宋_GB2312" w:eastAsia="仿宋_GB2312" w:cs="DengXian-Regular"/>
          <w:sz w:val="32"/>
          <w:szCs w:val="32"/>
          <w:lang w:val="en-US" w:eastAsia="zh-CN"/>
        </w:rPr>
        <w:t>995.1</w:t>
      </w:r>
      <w:r>
        <w:rPr>
          <w:rFonts w:hint="eastAsia" w:ascii="仿宋_GB2312" w:eastAsia="仿宋_GB2312" w:cs="DengXian-Regular"/>
          <w:sz w:val="32"/>
          <w:szCs w:val="32"/>
        </w:rPr>
        <w:t>万元，其中：基本支出</w:t>
      </w:r>
      <w:r>
        <w:rPr>
          <w:rFonts w:hint="eastAsia" w:ascii="仿宋_GB2312" w:eastAsia="仿宋_GB2312" w:cs="DengXian-Regular"/>
          <w:sz w:val="32"/>
          <w:szCs w:val="32"/>
          <w:lang w:val="en-US" w:eastAsia="zh-CN"/>
        </w:rPr>
        <w:t>700.08</w:t>
      </w:r>
      <w:r>
        <w:rPr>
          <w:rFonts w:hint="eastAsia" w:ascii="仿宋_GB2312" w:eastAsia="仿宋_GB2312" w:cs="DengXian-Regular"/>
          <w:sz w:val="32"/>
          <w:szCs w:val="32"/>
        </w:rPr>
        <w:t>万元，占</w:t>
      </w:r>
      <w:r>
        <w:rPr>
          <w:rFonts w:hint="eastAsia" w:ascii="宋体" w:hAnsi="宋体" w:eastAsia="仿宋_GB2312" w:cs="宋体"/>
          <w:sz w:val="32"/>
          <w:szCs w:val="32"/>
          <w:lang w:val="en-US" w:eastAsia="zh-CN"/>
        </w:rPr>
        <w:t>70.35</w:t>
      </w:r>
      <w:r>
        <w:rPr>
          <w:rFonts w:hint="eastAsia" w:ascii="仿宋_GB2312" w:eastAsia="仿宋_GB2312" w:cs="DengXian-Regular"/>
          <w:sz w:val="32"/>
          <w:szCs w:val="32"/>
        </w:rPr>
        <w:t>%；项目支出</w:t>
      </w:r>
      <w:r>
        <w:rPr>
          <w:rFonts w:hint="eastAsia" w:ascii="仿宋_GB2312" w:eastAsia="仿宋_GB2312" w:cs="DengXian-Regular"/>
          <w:sz w:val="32"/>
          <w:szCs w:val="32"/>
          <w:lang w:val="en-US" w:eastAsia="zh-CN"/>
        </w:rPr>
        <w:t>295.02</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29.65</w:t>
      </w:r>
      <w:r>
        <w:rPr>
          <w:rFonts w:hint="eastAsia" w:ascii="仿宋_GB2312" w:eastAsia="仿宋_GB2312" w:cs="DengXian-Regular"/>
          <w:sz w:val="32"/>
          <w:szCs w:val="32"/>
        </w:rPr>
        <w:t>%；经营支出0万元，占0%。如图所示：</w:t>
      </w:r>
    </w:p>
    <w:p>
      <w:pPr>
        <w:adjustRightInd w:val="0"/>
        <w:snapToGrid w:val="0"/>
        <w:spacing w:after="0" w:line="580" w:lineRule="exact"/>
        <w:jc w:val="center"/>
        <w:rPr>
          <w:rFonts w:ascii="仿宋_GB2312" w:eastAsia="仿宋_GB2312" w:cs="DengXian-Regular"/>
          <w:sz w:val="32"/>
          <w:szCs w:val="32"/>
        </w:rPr>
      </w:pPr>
      <w:r>
        <w:rPr>
          <w:rFonts w:eastAsia="仿宋_GB2312"/>
          <w:sz w:val="32"/>
          <w:szCs w:val="32"/>
        </w:rPr>
        <w:t>图2：支出决算结构饼状图</w:t>
      </w:r>
      <w:r>
        <w:rPr>
          <w:rFonts w:hint="eastAsia" w:ascii="仿宋_GB2312" w:eastAsia="仿宋_GB2312" w:cs="DengXian-Regular"/>
          <w:sz w:val="32"/>
          <w:szCs w:val="32"/>
          <w:lang w:eastAsia="zh-CN"/>
        </w:rPr>
        <w:drawing>
          <wp:anchor distT="0" distB="0" distL="114935" distR="114935" simplePos="0" relativeHeight="251659264" behindDoc="0" locked="0" layoutInCell="1" allowOverlap="1">
            <wp:simplePos x="0" y="0"/>
            <wp:positionH relativeFrom="column">
              <wp:posOffset>335915</wp:posOffset>
            </wp:positionH>
            <wp:positionV relativeFrom="paragraph">
              <wp:posOffset>168275</wp:posOffset>
            </wp:positionV>
            <wp:extent cx="4688205" cy="2807335"/>
            <wp:effectExtent l="4445" t="4445" r="6350" b="7620"/>
            <wp:wrapTopAndBottom/>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anchor>
        </w:drawing>
      </w:r>
    </w:p>
    <w:p>
      <w:pPr>
        <w:pStyle w:val="3"/>
        <w:spacing w:before="0" w:after="0" w:line="580" w:lineRule="exact"/>
        <w:ind w:firstLine="640" w:firstLineChars="200"/>
        <w:rPr>
          <w:rFonts w:ascii="黑体" w:eastAsia="黑体"/>
          <w:b w:val="0"/>
          <w:bCs w:val="0"/>
        </w:rPr>
      </w:pPr>
      <w:r>
        <w:rPr>
          <w:rFonts w:hint="eastAsia" w:ascii="黑体" w:eastAsia="黑体"/>
          <w:b w:val="0"/>
          <w:bCs w:val="0"/>
        </w:rPr>
        <w:t>四、</w:t>
      </w:r>
      <w:r>
        <w:rPr>
          <w:rFonts w:hint="eastAsia" w:ascii="黑体" w:eastAsia="黑体" w:cs="黑体" w:hAnsiTheme="minorHAnsi"/>
          <w:b w:val="0"/>
          <w:bCs w:val="0"/>
          <w:kern w:val="0"/>
        </w:rPr>
        <w:t>财政</w:t>
      </w:r>
      <w:r>
        <w:rPr>
          <w:rFonts w:hint="eastAsia" w:ascii="黑体" w:eastAsia="黑体"/>
          <w:b w:val="0"/>
          <w:bCs w:val="0"/>
        </w:rPr>
        <w:t>拨款收入支出决算情况说明</w:t>
      </w:r>
    </w:p>
    <w:p>
      <w:pPr>
        <w:spacing w:after="0" w:line="580" w:lineRule="exact"/>
        <w:ind w:firstLine="643" w:firstLineChars="200"/>
        <w:rPr>
          <w:rFonts w:ascii="楷体_GB2312" w:eastAsia="楷体_GB2312" w:cs="DengXian-Bold"/>
          <w:b/>
          <w:bCs/>
          <w:sz w:val="32"/>
          <w:szCs w:val="32"/>
        </w:rPr>
      </w:pPr>
      <w:r>
        <w:rPr>
          <w:rFonts w:hint="eastAsia" w:ascii="楷体_GB2312" w:eastAsia="楷体_GB2312" w:cs="DengXian-Bold"/>
          <w:b/>
          <w:bCs/>
          <w:sz w:val="32"/>
          <w:szCs w:val="32"/>
        </w:rPr>
        <w:t>（一）财政拨款收支与2017 年度决算对比情况</w:t>
      </w:r>
    </w:p>
    <w:p>
      <w:pPr>
        <w:adjustRightInd w:val="0"/>
        <w:snapToGrid w:val="0"/>
        <w:spacing w:after="0" w:line="580" w:lineRule="exact"/>
        <w:ind w:firstLine="640" w:firstLineChars="200"/>
        <w:rPr>
          <w:rFonts w:hint="eastAsia" w:ascii="仿宋_GB2312" w:eastAsia="仿宋_GB2312" w:cs="DengXian-Regular"/>
          <w:sz w:val="32"/>
          <w:szCs w:val="32"/>
          <w:lang w:val="en-US" w:eastAsia="zh-CN"/>
        </w:rPr>
      </w:pPr>
      <w:r>
        <w:rPr>
          <w:rFonts w:hint="eastAsia" w:ascii="仿宋_GB2312" w:eastAsia="仿宋_GB2312" w:cs="DengXian-Regular"/>
          <w:sz w:val="32"/>
          <w:szCs w:val="32"/>
        </w:rPr>
        <w:t>本部门2018年度形成的财政拨款收支均为一般公共预算财政拨款，其中一般公共预算财政拨款本年收入</w:t>
      </w:r>
      <w:r>
        <w:rPr>
          <w:rFonts w:hint="eastAsia" w:ascii="仿宋_GB2312" w:eastAsia="仿宋_GB2312" w:cs="DengXian-Regular"/>
          <w:sz w:val="32"/>
          <w:szCs w:val="32"/>
          <w:lang w:val="en-US" w:eastAsia="zh-CN"/>
        </w:rPr>
        <w:t>957.55</w:t>
      </w:r>
      <w:r>
        <w:rPr>
          <w:rFonts w:hint="eastAsia" w:ascii="仿宋_GB2312" w:eastAsia="仿宋_GB2312" w:cs="DengXian-Regular"/>
          <w:sz w:val="32"/>
          <w:szCs w:val="32"/>
        </w:rPr>
        <w:t>万元,比2017年度</w:t>
      </w:r>
      <w:r>
        <w:rPr>
          <w:rFonts w:hint="eastAsia" w:ascii="仿宋_GB2312" w:eastAsia="仿宋_GB2312" w:cs="DengXian-Regular"/>
          <w:sz w:val="32"/>
          <w:szCs w:val="32"/>
          <w:lang w:val="en-US" w:eastAsia="zh-CN"/>
        </w:rPr>
        <w:t>增加104.8</w:t>
      </w:r>
      <w:r>
        <w:rPr>
          <w:rFonts w:hint="eastAsia" w:ascii="仿宋_GB2312" w:eastAsia="仿宋_GB2312" w:cs="DengXian-Regular"/>
          <w:sz w:val="32"/>
          <w:szCs w:val="32"/>
        </w:rPr>
        <w:t>万元，</w:t>
      </w:r>
      <w:r>
        <w:rPr>
          <w:rFonts w:hint="eastAsia" w:ascii="仿宋_GB2312" w:eastAsia="仿宋_GB2312" w:cs="DengXian-Regular"/>
          <w:sz w:val="32"/>
          <w:szCs w:val="32"/>
          <w:lang w:val="en-US" w:eastAsia="zh-CN"/>
        </w:rPr>
        <w:t>增长10.94%</w:t>
      </w:r>
      <w:r>
        <w:rPr>
          <w:rFonts w:hint="eastAsia" w:ascii="仿宋_GB2312" w:eastAsia="仿宋_GB2312" w:cs="DengXian-Regular"/>
          <w:sz w:val="32"/>
          <w:szCs w:val="32"/>
        </w:rPr>
        <w:t>，</w:t>
      </w:r>
      <w:r>
        <w:rPr>
          <w:rFonts w:hint="eastAsia" w:ascii="仿宋_GB2312" w:eastAsia="仿宋_GB2312" w:cs="DengXian-Regular"/>
          <w:sz w:val="32"/>
          <w:szCs w:val="32"/>
          <w:lang w:val="en-US" w:eastAsia="zh-CN"/>
        </w:rPr>
        <w:t>增加</w:t>
      </w:r>
      <w:r>
        <w:rPr>
          <w:rFonts w:hint="eastAsia" w:ascii="仿宋" w:hAnsi="仿宋" w:eastAsia="仿宋" w:cs="宋体"/>
          <w:sz w:val="32"/>
          <w:szCs w:val="32"/>
        </w:rPr>
        <w:t>的主要原因为人员</w:t>
      </w:r>
      <w:r>
        <w:rPr>
          <w:rFonts w:hint="eastAsia" w:ascii="仿宋" w:hAnsi="仿宋" w:eastAsia="仿宋" w:cs="宋体"/>
          <w:sz w:val="32"/>
          <w:szCs w:val="32"/>
          <w:lang w:val="en-US" w:eastAsia="zh-CN"/>
        </w:rPr>
        <w:t>经费及项目的增多</w:t>
      </w:r>
      <w:r>
        <w:rPr>
          <w:rFonts w:hint="eastAsia" w:ascii="仿宋_GB2312" w:eastAsia="仿宋_GB2312" w:cs="DengXian-Regular"/>
          <w:sz w:val="32"/>
          <w:szCs w:val="32"/>
        </w:rPr>
        <w:t>；本年支出</w:t>
      </w:r>
      <w:r>
        <w:rPr>
          <w:rFonts w:hint="eastAsia" w:ascii="仿宋_GB2312" w:eastAsia="仿宋_GB2312" w:cs="DengXian-Regular"/>
          <w:sz w:val="32"/>
          <w:szCs w:val="32"/>
          <w:lang w:val="en-US" w:eastAsia="zh-CN"/>
        </w:rPr>
        <w:t>994.5</w:t>
      </w:r>
      <w:r>
        <w:rPr>
          <w:rFonts w:hint="eastAsia" w:ascii="仿宋_GB2312" w:eastAsia="仿宋_GB2312" w:cs="DengXian-Regular"/>
          <w:sz w:val="32"/>
          <w:szCs w:val="32"/>
        </w:rPr>
        <w:t>万元，</w:t>
      </w:r>
      <w:r>
        <w:rPr>
          <w:rFonts w:hint="eastAsia" w:ascii="仿宋_GB2312" w:eastAsia="仿宋_GB2312" w:cs="DengXian-Regular"/>
          <w:sz w:val="32"/>
          <w:szCs w:val="32"/>
          <w:lang w:val="en-US" w:eastAsia="zh-CN"/>
        </w:rPr>
        <w:t>比2017年</w:t>
      </w:r>
      <w:r>
        <w:rPr>
          <w:rFonts w:hint="eastAsia" w:ascii="仿宋_GB2312" w:eastAsia="仿宋_GB2312" w:cs="DengXian-Regular"/>
          <w:sz w:val="32"/>
          <w:szCs w:val="32"/>
        </w:rPr>
        <w:t>增长</w:t>
      </w:r>
      <w:r>
        <w:rPr>
          <w:rFonts w:hint="eastAsia" w:ascii="仿宋_GB2312" w:eastAsia="仿宋_GB2312" w:cs="DengXian-Regular"/>
          <w:sz w:val="32"/>
          <w:szCs w:val="32"/>
          <w:lang w:val="en-US" w:eastAsia="zh-CN"/>
        </w:rPr>
        <w:t>109.37万元</w:t>
      </w:r>
      <w:r>
        <w:rPr>
          <w:rFonts w:hint="eastAsia" w:ascii="仿宋_GB2312" w:eastAsia="仿宋_GB2312" w:cs="DengXian-Regular"/>
          <w:sz w:val="32"/>
          <w:szCs w:val="32"/>
        </w:rPr>
        <w:t>，</w:t>
      </w:r>
      <w:r>
        <w:rPr>
          <w:rFonts w:hint="eastAsia" w:ascii="仿宋_GB2312" w:eastAsia="仿宋_GB2312" w:cs="DengXian-Regular"/>
          <w:sz w:val="32"/>
          <w:szCs w:val="32"/>
          <w:lang w:val="en-US" w:eastAsia="zh-CN"/>
        </w:rPr>
        <w:t>增加</w:t>
      </w:r>
      <w:r>
        <w:rPr>
          <w:rFonts w:hint="eastAsia" w:ascii="仿宋" w:hAnsi="仿宋" w:eastAsia="仿宋" w:cs="宋体"/>
          <w:sz w:val="32"/>
          <w:szCs w:val="32"/>
        </w:rPr>
        <w:t>的主要原因为人员</w:t>
      </w:r>
      <w:r>
        <w:rPr>
          <w:rFonts w:hint="eastAsia" w:ascii="仿宋" w:hAnsi="仿宋" w:eastAsia="仿宋" w:cs="宋体"/>
          <w:sz w:val="32"/>
          <w:szCs w:val="32"/>
          <w:lang w:val="en-US" w:eastAsia="zh-CN"/>
        </w:rPr>
        <w:t>经费及项目的增多。</w:t>
      </w:r>
    </w:p>
    <w:p>
      <w:pPr>
        <w:adjustRightInd w:val="0"/>
        <w:snapToGrid w:val="0"/>
        <w:spacing w:after="0" w:line="580" w:lineRule="exact"/>
        <w:jc w:val="center"/>
        <w:rPr>
          <w:rFonts w:hint="eastAsia" w:eastAsia="仿宋_GB2312"/>
          <w:sz w:val="32"/>
          <w:szCs w:val="32"/>
        </w:rPr>
      </w:pPr>
      <w:r>
        <w:rPr>
          <w:rFonts w:hint="eastAsia" w:ascii="仿宋_GB2312" w:eastAsia="仿宋_GB2312" w:cs="DengXian-Regular"/>
          <w:sz w:val="32"/>
          <w:szCs w:val="32"/>
          <w:lang w:val="en-US" w:eastAsia="zh-CN"/>
        </w:rPr>
        <w:drawing>
          <wp:anchor distT="0" distB="0" distL="114300" distR="114300" simplePos="0" relativeHeight="251661312" behindDoc="0" locked="0" layoutInCell="1" allowOverlap="1">
            <wp:simplePos x="0" y="0"/>
            <wp:positionH relativeFrom="column">
              <wp:posOffset>26670</wp:posOffset>
            </wp:positionH>
            <wp:positionV relativeFrom="paragraph">
              <wp:posOffset>-7488555</wp:posOffset>
            </wp:positionV>
            <wp:extent cx="4754245" cy="3024505"/>
            <wp:effectExtent l="4445" t="4445" r="16510" b="6350"/>
            <wp:wrapTopAndBottom/>
            <wp:docPr id="12"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r>
        <w:rPr>
          <w:rFonts w:hint="eastAsia" w:eastAsia="仿宋_GB2312"/>
          <w:sz w:val="32"/>
          <w:szCs w:val="32"/>
        </w:rPr>
        <w:t>图3：财政拨款收支情况</w:t>
      </w:r>
    </w:p>
    <w:p>
      <w:pPr>
        <w:adjustRightInd w:val="0"/>
        <w:snapToGrid w:val="0"/>
        <w:spacing w:after="0" w:line="580" w:lineRule="exact"/>
        <w:jc w:val="center"/>
        <w:rPr>
          <w:rFonts w:hint="eastAsia" w:ascii="仿宋_GB2312" w:eastAsia="仿宋_GB2312" w:cs="DengXian-Regular"/>
          <w:sz w:val="32"/>
          <w:szCs w:val="32"/>
          <w:lang w:val="en-US" w:eastAsia="zh-CN"/>
        </w:rPr>
      </w:pPr>
    </w:p>
    <w:p>
      <w:pPr>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（二）财政拨款收支与年初预算数对比情况</w:t>
      </w:r>
    </w:p>
    <w:p>
      <w:pPr>
        <w:adjustRightInd w:val="0"/>
        <w:snapToGrid w:val="0"/>
        <w:spacing w:after="0" w:line="580" w:lineRule="exact"/>
        <w:ind w:firstLine="640" w:firstLineChars="200"/>
        <w:rPr>
          <w:rFonts w:hint="default" w:ascii="仿宋" w:hAnsi="仿宋" w:eastAsia="仿宋_GB2312" w:cs="DengXian-Regular"/>
          <w:sz w:val="32"/>
          <w:szCs w:val="32"/>
          <w:lang w:val="en-US" w:eastAsia="zh-CN"/>
        </w:rPr>
      </w:pPr>
      <w:r>
        <w:rPr>
          <w:rFonts w:hint="eastAsia" w:ascii="仿宋_GB2312" w:eastAsia="仿宋_GB2312" w:cs="DengXian-Regular"/>
          <w:sz w:val="32"/>
          <w:szCs w:val="32"/>
        </w:rPr>
        <w:t>本部门2018年度一般公共预算财政拨款收入</w:t>
      </w:r>
      <w:r>
        <w:rPr>
          <w:rFonts w:hint="eastAsia" w:ascii="仿宋_GB2312" w:eastAsia="仿宋_GB2312" w:cs="DengXian-Regular"/>
          <w:sz w:val="32"/>
          <w:szCs w:val="32"/>
          <w:lang w:val="en-US" w:eastAsia="zh-CN"/>
        </w:rPr>
        <w:t>788.35</w:t>
      </w:r>
      <w:r>
        <w:rPr>
          <w:rFonts w:hint="eastAsia" w:ascii="仿宋_GB2312" w:eastAsia="仿宋_GB2312" w:cs="DengXian-Regular"/>
          <w:sz w:val="32"/>
          <w:szCs w:val="32"/>
        </w:rPr>
        <w:t>万元，完成年初预算的1</w:t>
      </w:r>
      <w:r>
        <w:rPr>
          <w:rFonts w:hint="eastAsia" w:ascii="仿宋_GB2312" w:eastAsia="仿宋_GB2312" w:cs="DengXian-Regular"/>
          <w:sz w:val="32"/>
          <w:szCs w:val="32"/>
          <w:lang w:val="en-US" w:eastAsia="zh-CN"/>
        </w:rPr>
        <w:t>21.46%</w:t>
      </w:r>
      <w:r>
        <w:rPr>
          <w:rFonts w:hint="eastAsia" w:ascii="仿宋_GB2312" w:eastAsia="仿宋_GB2312" w:cs="DengXian-Regular"/>
          <w:sz w:val="32"/>
          <w:szCs w:val="32"/>
        </w:rPr>
        <w:t>,比年初预算增加</w:t>
      </w:r>
      <w:r>
        <w:rPr>
          <w:rFonts w:hint="eastAsia" w:ascii="仿宋_GB2312" w:eastAsia="仿宋_GB2312" w:cs="DengXian-Regular"/>
          <w:sz w:val="32"/>
          <w:szCs w:val="32"/>
          <w:lang w:val="en-US" w:eastAsia="zh-CN"/>
        </w:rPr>
        <w:t>169.2</w:t>
      </w:r>
      <w:r>
        <w:rPr>
          <w:rFonts w:hint="eastAsia" w:ascii="仿宋_GB2312" w:eastAsia="仿宋_GB2312" w:cs="DengXian-Regular"/>
          <w:sz w:val="32"/>
          <w:szCs w:val="32"/>
        </w:rPr>
        <w:t>万元，决算数大于预算数主要是</w:t>
      </w:r>
      <w:r>
        <w:rPr>
          <w:rFonts w:hint="eastAsia" w:ascii="仿宋" w:hAnsi="仿宋" w:eastAsia="仿宋"/>
          <w:sz w:val="32"/>
          <w:szCs w:val="32"/>
        </w:rPr>
        <w:t>人员经费及</w:t>
      </w:r>
      <w:r>
        <w:rPr>
          <w:rFonts w:hint="eastAsia" w:ascii="仿宋" w:hAnsi="仿宋" w:eastAsia="仿宋"/>
          <w:sz w:val="32"/>
          <w:szCs w:val="32"/>
          <w:lang w:val="en-US" w:eastAsia="zh-CN"/>
        </w:rPr>
        <w:t>购买社会服务费增加</w:t>
      </w:r>
      <w:r>
        <w:rPr>
          <w:rFonts w:hint="eastAsia" w:ascii="仿宋_GB2312" w:eastAsia="仿宋_GB2312" w:cs="DengXian-Regular"/>
          <w:sz w:val="32"/>
          <w:szCs w:val="32"/>
        </w:rPr>
        <w:t>；本年支出</w:t>
      </w:r>
      <w:r>
        <w:rPr>
          <w:rFonts w:hint="eastAsia" w:ascii="仿宋_GB2312" w:eastAsia="仿宋_GB2312" w:cs="DengXian-Regular"/>
          <w:sz w:val="32"/>
          <w:szCs w:val="32"/>
          <w:lang w:val="en-US" w:eastAsia="zh-CN"/>
        </w:rPr>
        <w:t>994.5</w:t>
      </w:r>
      <w:r>
        <w:rPr>
          <w:rFonts w:hint="eastAsia" w:ascii="仿宋_GB2312" w:eastAsia="仿宋_GB2312" w:cs="DengXian-Regular"/>
          <w:sz w:val="32"/>
          <w:szCs w:val="32"/>
        </w:rPr>
        <w:t>万元，完成年初预算的</w:t>
      </w:r>
      <w:r>
        <w:rPr>
          <w:rFonts w:hint="eastAsia" w:ascii="宋体" w:hAnsi="宋体" w:eastAsia="仿宋_GB2312" w:cs="宋体"/>
          <w:sz w:val="32"/>
          <w:szCs w:val="32"/>
          <w:lang w:val="en-US" w:eastAsia="zh-CN"/>
        </w:rPr>
        <w:t>126.15%</w:t>
      </w:r>
      <w:r>
        <w:rPr>
          <w:rFonts w:hint="eastAsia" w:ascii="仿宋_GB2312" w:eastAsia="仿宋_GB2312" w:cs="DengXian-Regular"/>
          <w:sz w:val="32"/>
          <w:szCs w:val="32"/>
        </w:rPr>
        <w:t>,比年初预算</w:t>
      </w:r>
      <w:r>
        <w:rPr>
          <w:rFonts w:hint="eastAsia" w:ascii="仿宋_GB2312" w:eastAsia="仿宋_GB2312" w:cs="DengXian-Regular"/>
          <w:sz w:val="32"/>
          <w:szCs w:val="32"/>
          <w:lang w:val="en-US" w:eastAsia="zh-CN"/>
        </w:rPr>
        <w:t>增加206.15</w:t>
      </w:r>
      <w:r>
        <w:rPr>
          <w:rFonts w:hint="eastAsia" w:ascii="仿宋_GB2312" w:eastAsia="仿宋_GB2312" w:cs="DengXian-Regular"/>
          <w:sz w:val="32"/>
          <w:szCs w:val="32"/>
        </w:rPr>
        <w:t>万元，决算数</w:t>
      </w:r>
      <w:r>
        <w:rPr>
          <w:rFonts w:hint="eastAsia" w:ascii="仿宋_GB2312" w:eastAsia="仿宋_GB2312" w:cs="DengXian-Regular"/>
          <w:sz w:val="32"/>
          <w:szCs w:val="32"/>
          <w:lang w:val="en-US" w:eastAsia="zh-CN"/>
        </w:rPr>
        <w:t>大</w:t>
      </w:r>
      <w:r>
        <w:rPr>
          <w:rFonts w:hint="eastAsia" w:ascii="仿宋_GB2312" w:eastAsia="仿宋_GB2312" w:cs="DengXian-Regular"/>
          <w:sz w:val="32"/>
          <w:szCs w:val="32"/>
        </w:rPr>
        <w:t>于预算数主要是</w:t>
      </w:r>
      <w:r>
        <w:rPr>
          <w:rFonts w:hint="eastAsia" w:ascii="仿宋_GB2312" w:eastAsia="仿宋_GB2312" w:cs="DengXian-Regular"/>
          <w:sz w:val="32"/>
          <w:szCs w:val="32"/>
          <w:lang w:val="en-US" w:eastAsia="zh-CN"/>
        </w:rPr>
        <w:t>人员经费及购买社会服务费的增加。</w:t>
      </w:r>
    </w:p>
    <w:p>
      <w:pPr>
        <w:adjustRightInd w:val="0"/>
        <w:snapToGrid w:val="0"/>
        <w:spacing w:after="0" w:line="580" w:lineRule="exact"/>
        <w:jc w:val="center"/>
        <w:rPr>
          <w:rFonts w:ascii="仿宋_GB2312" w:eastAsia="仿宋_GB2312" w:cs="DengXian-Regular"/>
          <w:sz w:val="24"/>
        </w:rPr>
      </w:pPr>
      <w:r>
        <w:rPr>
          <w:rFonts w:hint="eastAsia" w:eastAsia="仿宋_GB2312"/>
          <w:sz w:val="32"/>
          <w:szCs w:val="32"/>
        </w:rPr>
        <w:t>图4：财政拨款收支预决算对比情况</w:t>
      </w:r>
    </w:p>
    <w:p>
      <w:pPr>
        <w:bidi w:val="0"/>
        <w:rPr>
          <w:rFonts w:ascii="仿宋_GB2312" w:eastAsia="仿宋_GB2312" w:cs="DengXian-Regular"/>
          <w:sz w:val="32"/>
          <w:szCs w:val="32"/>
          <w:highlight w:val="yellow"/>
        </w:rPr>
      </w:pPr>
      <w:r>
        <w:rPr>
          <w:rFonts w:hint="eastAsia"/>
          <w:lang w:eastAsia="zh-CN"/>
        </w:rPr>
        <w:drawing>
          <wp:inline distT="0" distB="0" distL="114300" distR="114300">
            <wp:extent cx="4237990" cy="2357120"/>
            <wp:effectExtent l="5080" t="4445" r="11430" b="13335"/>
            <wp:docPr id="15"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pPr>
        <w:numPr>
          <w:ilvl w:val="0"/>
          <w:numId w:val="1"/>
        </w:num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财政拨款支出决算结构情况。</w:t>
      </w:r>
    </w:p>
    <w:p>
      <w:pPr>
        <w:adjustRightInd w:val="0"/>
        <w:snapToGrid w:val="0"/>
        <w:spacing w:after="0" w:line="580" w:lineRule="exact"/>
        <w:ind w:firstLine="640" w:firstLineChars="200"/>
        <w:rPr>
          <w:rFonts w:hint="eastAsia" w:ascii="仿宋_GB2312" w:eastAsia="仿宋_GB2312" w:cs="DengXian-Regular"/>
          <w:sz w:val="32"/>
          <w:szCs w:val="32"/>
          <w:lang w:eastAsia="zh-CN"/>
        </w:rPr>
      </w:pPr>
      <w:r>
        <w:rPr>
          <w:rFonts w:hint="eastAsia" w:ascii="仿宋_GB2312" w:eastAsia="仿宋_GB2312" w:cs="DengXian-Regular"/>
          <w:sz w:val="32"/>
          <w:szCs w:val="32"/>
        </w:rPr>
        <w:t>2018 年度财政拨款支出</w:t>
      </w:r>
      <w:r>
        <w:rPr>
          <w:rFonts w:hint="eastAsia" w:ascii="仿宋_GB2312" w:eastAsia="仿宋_GB2312" w:cs="DengXian-Regular"/>
          <w:sz w:val="32"/>
          <w:szCs w:val="32"/>
          <w:lang w:val="en-US" w:eastAsia="zh-CN"/>
        </w:rPr>
        <w:t>994.5</w:t>
      </w:r>
      <w:r>
        <w:rPr>
          <w:rFonts w:hint="eastAsia" w:ascii="仿宋_GB2312" w:eastAsia="仿宋_GB2312" w:cs="DengXian-Regular"/>
          <w:sz w:val="32"/>
          <w:szCs w:val="32"/>
        </w:rPr>
        <w:t>万元，主要用于以下方面</w:t>
      </w:r>
      <w:r>
        <w:rPr>
          <w:rFonts w:hint="eastAsia" w:ascii="仿宋_GB2312" w:eastAsia="仿宋_GB2312" w:cs="DengXian-Regular"/>
          <w:sz w:val="32"/>
          <w:szCs w:val="32"/>
          <w:lang w:val="en-US" w:eastAsia="zh-CN"/>
        </w:rPr>
        <w:t>一般公共服务支出885.8万元，占87.73%；</w:t>
      </w:r>
      <w:r>
        <w:rPr>
          <w:rFonts w:hint="eastAsia" w:ascii="仿宋_GB2312" w:eastAsia="仿宋_GB2312" w:cs="DengXian-Regular"/>
          <w:sz w:val="32"/>
          <w:szCs w:val="32"/>
        </w:rPr>
        <w:t xml:space="preserve">社会保障和就业（类）支出 </w:t>
      </w:r>
      <w:r>
        <w:rPr>
          <w:rFonts w:hint="eastAsia" w:ascii="仿宋_GB2312" w:eastAsia="仿宋_GB2312" w:cs="DengXian-Regular"/>
          <w:sz w:val="32"/>
          <w:szCs w:val="32"/>
          <w:lang w:val="en-US" w:eastAsia="zh-CN"/>
        </w:rPr>
        <w:t>55.53</w:t>
      </w:r>
      <w:r>
        <w:rPr>
          <w:rFonts w:hint="eastAsia" w:ascii="仿宋_GB2312" w:eastAsia="仿宋_GB2312" w:cs="DengXian-Regular"/>
          <w:sz w:val="32"/>
          <w:szCs w:val="32"/>
        </w:rPr>
        <w:t>万元，占6</w:t>
      </w:r>
      <w:r>
        <w:rPr>
          <w:rFonts w:hint="eastAsia" w:ascii="仿宋_GB2312" w:eastAsia="仿宋_GB2312" w:cs="DengXian-Regular"/>
          <w:sz w:val="32"/>
          <w:szCs w:val="32"/>
          <w:lang w:val="en-US" w:eastAsia="zh-CN"/>
        </w:rPr>
        <w:t>.27</w:t>
      </w:r>
      <w:r>
        <w:rPr>
          <w:rFonts w:hint="eastAsia" w:ascii="仿宋_GB2312" w:eastAsia="仿宋_GB2312" w:cs="DengXian-Regular"/>
          <w:sz w:val="32"/>
          <w:szCs w:val="32"/>
        </w:rPr>
        <w:t>%；医疗卫生与计划生育支出</w:t>
      </w:r>
      <w:r>
        <w:rPr>
          <w:rFonts w:hint="eastAsia" w:ascii="仿宋_GB2312" w:eastAsia="仿宋_GB2312" w:cs="DengXian-Regular"/>
          <w:sz w:val="32"/>
          <w:szCs w:val="32"/>
          <w:lang w:val="en-US" w:eastAsia="zh-CN"/>
        </w:rPr>
        <w:t>19.85</w:t>
      </w:r>
      <w:r>
        <w:rPr>
          <w:rFonts w:hint="eastAsia" w:ascii="宋体" w:hAnsi="宋体" w:cs="宋体"/>
          <w:sz w:val="32"/>
          <w:szCs w:val="32"/>
        </w:rPr>
        <w:t>万元，占</w:t>
      </w:r>
      <w:r>
        <w:rPr>
          <w:rFonts w:hint="eastAsia" w:ascii="仿宋_GB2312" w:eastAsia="仿宋_GB2312" w:cs="DengXian-Regular"/>
          <w:sz w:val="32"/>
          <w:szCs w:val="32"/>
        </w:rPr>
        <w:t>2</w:t>
      </w:r>
      <w:r>
        <w:rPr>
          <w:rFonts w:hint="eastAsia" w:ascii="仿宋_GB2312" w:eastAsia="仿宋_GB2312" w:cs="DengXian-Regular"/>
          <w:sz w:val="32"/>
          <w:szCs w:val="32"/>
          <w:lang w:val="en-US" w:eastAsia="zh-CN"/>
        </w:rPr>
        <w:t>.24</w:t>
      </w:r>
      <w:r>
        <w:rPr>
          <w:rFonts w:hint="eastAsia" w:ascii="仿宋_GB2312" w:eastAsia="仿宋_GB2312" w:cs="DengXian-Regular"/>
          <w:sz w:val="32"/>
          <w:szCs w:val="32"/>
        </w:rPr>
        <w:t xml:space="preserve">%;住房保障支出 </w:t>
      </w:r>
      <w:r>
        <w:rPr>
          <w:rFonts w:hint="eastAsia" w:ascii="仿宋_GB2312" w:eastAsia="仿宋_GB2312" w:cs="DengXian-Regular"/>
          <w:sz w:val="32"/>
          <w:szCs w:val="32"/>
          <w:lang w:val="en-US" w:eastAsia="zh-CN"/>
        </w:rPr>
        <w:t>32.33</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3.76%</w:t>
      </w:r>
      <w:r>
        <w:rPr>
          <w:rFonts w:hint="eastAsia" w:ascii="仿宋_GB2312" w:eastAsia="仿宋_GB2312" w:cs="DengXian-Regular"/>
          <w:sz w:val="32"/>
          <w:szCs w:val="32"/>
          <w:lang w:eastAsia="zh-CN"/>
        </w:rPr>
        <w:t>。</w:t>
      </w:r>
    </w:p>
    <w:p>
      <w:pPr>
        <w:adjustRightInd w:val="0"/>
        <w:snapToGrid w:val="0"/>
        <w:spacing w:after="0" w:line="580" w:lineRule="exact"/>
        <w:jc w:val="center"/>
        <w:rPr>
          <w:rFonts w:ascii="楷体_GB2312" w:eastAsia="楷体_GB2312" w:cs="DengXian-Bold"/>
          <w:b/>
          <w:bCs/>
          <w:sz w:val="32"/>
          <w:szCs w:val="32"/>
        </w:rPr>
      </w:pPr>
      <w:r>
        <w:rPr>
          <w:rFonts w:hint="eastAsia" w:eastAsia="仿宋_GB2312"/>
          <w:sz w:val="32"/>
          <w:szCs w:val="32"/>
        </w:rPr>
        <w:t>图5：财政拨款支出决算结构（按功能分类）</w:t>
      </w:r>
    </w:p>
    <w:p>
      <w:pPr>
        <w:adjustRightInd w:val="0"/>
        <w:snapToGrid w:val="0"/>
        <w:spacing w:after="0" w:line="580" w:lineRule="exact"/>
        <w:rPr>
          <w:rFonts w:ascii="楷体_GB2312" w:eastAsia="楷体_GB2312" w:cs="DengXian-Bold"/>
          <w:b/>
          <w:bCs/>
          <w:sz w:val="32"/>
          <w:szCs w:val="32"/>
        </w:rPr>
      </w:pPr>
      <w:r>
        <w:rPr>
          <w:rFonts w:hint="eastAsia" w:ascii="楷体_GB2312" w:eastAsia="楷体_GB2312" w:cs="DengXian-Bold"/>
          <w:b/>
          <w:bCs/>
          <w:sz w:val="32"/>
          <w:szCs w:val="32"/>
          <w:lang w:eastAsia="zh-CN"/>
        </w:rPr>
        <w:drawing>
          <wp:anchor distT="0" distB="0" distL="114300" distR="114300" simplePos="0" relativeHeight="251662336" behindDoc="0" locked="0" layoutInCell="1" allowOverlap="1">
            <wp:simplePos x="0" y="0"/>
            <wp:positionH relativeFrom="column">
              <wp:posOffset>188595</wp:posOffset>
            </wp:positionH>
            <wp:positionV relativeFrom="paragraph">
              <wp:posOffset>159385</wp:posOffset>
            </wp:positionV>
            <wp:extent cx="5022215" cy="2807335"/>
            <wp:effectExtent l="4445" t="4445" r="15240" b="7620"/>
            <wp:wrapTopAndBottom/>
            <wp:docPr id="16" name="图表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Pr>
          <w:rFonts w:hint="eastAsia" w:ascii="楷体_GB2312" w:eastAsia="楷体_GB2312" w:cs="DengXian-Bold"/>
          <w:b/>
          <w:bCs/>
          <w:sz w:val="32"/>
          <w:szCs w:val="32"/>
          <w:lang w:val="en-US" w:eastAsia="zh-CN"/>
        </w:rPr>
        <w:t xml:space="preserve">  </w:t>
      </w:r>
      <w:r>
        <w:rPr>
          <w:rFonts w:hint="eastAsia" w:ascii="楷体_GB2312" w:eastAsia="楷体_GB2312" w:cs="DengXian-Bold"/>
          <w:b/>
          <w:bCs/>
          <w:sz w:val="32"/>
          <w:szCs w:val="32"/>
        </w:rPr>
        <w:t>（四）一般公共预算财政拨款基本支出决算情况说明</w:t>
      </w:r>
    </w:p>
    <w:p>
      <w:pPr>
        <w:adjustRightInd w:val="0"/>
        <w:snapToGrid w:val="0"/>
        <w:spacing w:after="0" w:line="580" w:lineRule="exact"/>
        <w:ind w:firstLine="640" w:firstLineChars="200"/>
        <w:rPr>
          <w:rFonts w:hint="eastAsia" w:ascii="仿宋_GB2312" w:eastAsia="仿宋_GB2312" w:cs="DengXian-Regular"/>
          <w:sz w:val="32"/>
          <w:szCs w:val="32"/>
          <w:lang w:eastAsia="zh-CN"/>
        </w:rPr>
      </w:pPr>
      <w:r>
        <w:rPr>
          <w:rFonts w:hint="eastAsia" w:ascii="仿宋_GB2312" w:eastAsia="仿宋_GB2312" w:cs="DengXian-Regular"/>
          <w:sz w:val="32"/>
          <w:szCs w:val="32"/>
        </w:rPr>
        <w:t>201</w:t>
      </w:r>
      <w:r>
        <w:rPr>
          <w:rFonts w:hint="eastAsia" w:ascii="仿宋_GB2312" w:eastAsia="仿宋_GB2312" w:cs="DengXian-Regular"/>
          <w:sz w:val="32"/>
          <w:szCs w:val="32"/>
          <w:lang w:val="en-US" w:eastAsia="zh-CN"/>
        </w:rPr>
        <w:t>8</w:t>
      </w:r>
      <w:r>
        <w:rPr>
          <w:rFonts w:hint="eastAsia" w:ascii="仿宋_GB2312" w:eastAsia="仿宋_GB2312" w:cs="DengXian-Regular"/>
          <w:sz w:val="32"/>
          <w:szCs w:val="32"/>
        </w:rPr>
        <w:t>年度一般公共预算财政拨款基本支出</w:t>
      </w:r>
      <w:r>
        <w:rPr>
          <w:rFonts w:hint="eastAsia" w:ascii="仿宋_GB2312" w:eastAsia="仿宋_GB2312" w:cs="DengXian-Regular"/>
          <w:sz w:val="32"/>
          <w:szCs w:val="32"/>
          <w:lang w:val="en-US" w:eastAsia="zh-CN"/>
        </w:rPr>
        <w:t>700.08</w:t>
      </w:r>
      <w:r>
        <w:rPr>
          <w:rFonts w:hint="eastAsia" w:ascii="仿宋_GB2312" w:eastAsia="仿宋_GB2312" w:cs="DengXian-Regular"/>
          <w:sz w:val="32"/>
          <w:szCs w:val="32"/>
        </w:rPr>
        <w:t xml:space="preserve">万元，其中：人员经费 </w:t>
      </w:r>
      <w:r>
        <w:rPr>
          <w:rFonts w:hint="eastAsia" w:ascii="仿宋_GB2312" w:eastAsia="仿宋_GB2312" w:cs="DengXian-Regular"/>
          <w:sz w:val="32"/>
          <w:szCs w:val="32"/>
          <w:lang w:val="en-US" w:eastAsia="zh-CN"/>
        </w:rPr>
        <w:t>521.07</w:t>
      </w:r>
      <w:r>
        <w:rPr>
          <w:rFonts w:hint="eastAsia" w:ascii="仿宋_GB2312" w:eastAsia="仿宋_GB2312" w:cs="DengXian-Regular"/>
          <w:sz w:val="32"/>
          <w:szCs w:val="32"/>
        </w:rPr>
        <w:t>万元，主要包括基本工资、津贴补贴、奖金、绩效工资、机关事业单位基本养老保险缴费、职业年金缴费、职工基本医疗保险缴费、住房公积金、其他社会保障缴费、其他工资福利支出、生活补助、奖励金、其他对个人和家庭的补助支出等；公用经费</w:t>
      </w:r>
      <w:r>
        <w:rPr>
          <w:rFonts w:hint="eastAsia" w:ascii="仿宋_GB2312" w:eastAsia="仿宋_GB2312" w:cs="DengXian-Regular"/>
          <w:sz w:val="32"/>
          <w:szCs w:val="32"/>
          <w:lang w:val="en-US" w:eastAsia="zh-CN"/>
        </w:rPr>
        <w:t>69.69</w:t>
      </w:r>
      <w:r>
        <w:rPr>
          <w:rFonts w:hint="eastAsia" w:ascii="仿宋_GB2312" w:eastAsia="仿宋_GB2312" w:cs="DengXian-Regular"/>
          <w:sz w:val="32"/>
          <w:szCs w:val="32"/>
        </w:rPr>
        <w:t>万元，主要包括办公费、电费、邮电费、差旅费、维修（护）费、培训费、劳务费、委托业务费、工会经费、公务用车运行维护费、其他交通费用、其他商品和服务支出、办公设备购置</w:t>
      </w:r>
      <w:r>
        <w:rPr>
          <w:rFonts w:hint="eastAsia" w:ascii="仿宋_GB2312" w:eastAsia="仿宋_GB2312" w:cs="DengXian-Regular"/>
          <w:sz w:val="32"/>
          <w:szCs w:val="32"/>
          <w:lang w:val="en-US" w:eastAsia="zh-CN"/>
        </w:rPr>
        <w:t>等</w:t>
      </w:r>
      <w:r>
        <w:rPr>
          <w:rFonts w:hint="eastAsia" w:ascii="仿宋_GB2312" w:eastAsia="仿宋_GB2312" w:cs="DengXian-Regular"/>
          <w:sz w:val="32"/>
          <w:szCs w:val="32"/>
          <w:lang w:eastAsia="zh-CN"/>
        </w:rPr>
        <w:t>。</w:t>
      </w:r>
    </w:p>
    <w:p>
      <w:pPr>
        <w:pStyle w:val="3"/>
        <w:spacing w:before="0" w:after="0" w:line="580" w:lineRule="exact"/>
        <w:ind w:firstLine="640" w:firstLineChars="200"/>
        <w:rPr>
          <w:rFonts w:ascii="黑体" w:eastAsia="黑体"/>
          <w:b w:val="0"/>
          <w:bCs w:val="0"/>
        </w:rPr>
      </w:pPr>
      <w:r>
        <w:rPr>
          <w:rFonts w:hint="eastAsia" w:ascii="黑体" w:eastAsia="黑体"/>
          <w:b w:val="0"/>
          <w:bCs w:val="0"/>
        </w:rPr>
        <w:t>五、一般公共预算财政拨款“三公” 经费支出决算情况说明</w:t>
      </w:r>
    </w:p>
    <w:p>
      <w:pPr>
        <w:adjustRightInd w:val="0"/>
        <w:snapToGrid w:val="0"/>
        <w:spacing w:line="584" w:lineRule="exact"/>
        <w:ind w:firstLine="640" w:firstLineChars="200"/>
        <w:rPr>
          <w:rFonts w:eastAsia="仿宋_GB2312"/>
          <w:sz w:val="32"/>
          <w:szCs w:val="32"/>
          <w:highlight w:val="yellow"/>
        </w:rPr>
      </w:pPr>
      <w:r>
        <w:rPr>
          <w:rFonts w:eastAsia="仿宋_GB2312"/>
          <w:sz w:val="32"/>
          <w:szCs w:val="32"/>
        </w:rPr>
        <w:t>本部门201</w:t>
      </w:r>
      <w:r>
        <w:rPr>
          <w:rFonts w:hint="eastAsia" w:eastAsia="仿宋_GB2312"/>
          <w:sz w:val="32"/>
          <w:szCs w:val="32"/>
        </w:rPr>
        <w:t>8</w:t>
      </w:r>
      <w:r>
        <w:rPr>
          <w:rFonts w:eastAsia="仿宋_GB2312"/>
          <w:sz w:val="32"/>
          <w:szCs w:val="32"/>
        </w:rPr>
        <w:t>年度一般公共预算财政拨款“三公”经费支出共计</w:t>
      </w:r>
      <w:r>
        <w:rPr>
          <w:rFonts w:hint="eastAsia" w:eastAsia="仿宋_GB2312"/>
          <w:sz w:val="32"/>
          <w:szCs w:val="32"/>
          <w:lang w:val="en-US" w:eastAsia="zh-CN"/>
        </w:rPr>
        <w:t>1.85</w:t>
      </w:r>
      <w:r>
        <w:rPr>
          <w:rFonts w:eastAsia="仿宋_GB2312"/>
          <w:sz w:val="32"/>
          <w:szCs w:val="32"/>
        </w:rPr>
        <w:t>万元，</w:t>
      </w:r>
      <w:r>
        <w:rPr>
          <w:rFonts w:hint="eastAsia" w:eastAsia="仿宋_GB2312"/>
          <w:sz w:val="32"/>
          <w:szCs w:val="32"/>
        </w:rPr>
        <w:t>比</w:t>
      </w:r>
      <w:r>
        <w:rPr>
          <w:rFonts w:eastAsia="仿宋_GB2312"/>
          <w:sz w:val="32"/>
          <w:szCs w:val="32"/>
        </w:rPr>
        <w:t>年初预算减少</w:t>
      </w:r>
      <w:r>
        <w:rPr>
          <w:rFonts w:hint="eastAsia" w:eastAsia="仿宋_GB2312"/>
          <w:sz w:val="32"/>
          <w:szCs w:val="32"/>
          <w:lang w:val="en-US" w:eastAsia="zh-CN"/>
        </w:rPr>
        <w:t>4.51</w:t>
      </w:r>
      <w:r>
        <w:rPr>
          <w:rFonts w:eastAsia="仿宋_GB2312"/>
          <w:sz w:val="32"/>
          <w:szCs w:val="32"/>
        </w:rPr>
        <w:t>万元，降低</w:t>
      </w:r>
      <w:r>
        <w:rPr>
          <w:rFonts w:hint="eastAsia" w:eastAsia="仿宋_GB2312"/>
          <w:sz w:val="32"/>
          <w:szCs w:val="32"/>
          <w:lang w:val="en-US" w:eastAsia="zh-CN"/>
        </w:rPr>
        <w:t>70.91</w:t>
      </w:r>
      <w:r>
        <w:rPr>
          <w:rFonts w:eastAsia="仿宋_GB2312"/>
          <w:sz w:val="32"/>
          <w:szCs w:val="32"/>
        </w:rPr>
        <w:t>%，主要是</w:t>
      </w:r>
      <w:r>
        <w:rPr>
          <w:rFonts w:hint="eastAsia" w:ascii="仿宋" w:hAnsi="仿宋" w:eastAsia="仿宋" w:cs="仿宋"/>
          <w:sz w:val="32"/>
          <w:szCs w:val="32"/>
        </w:rPr>
        <w:t>公车改革后，公车出行受限</w:t>
      </w:r>
      <w:r>
        <w:rPr>
          <w:rFonts w:eastAsia="仿宋_GB2312"/>
          <w:sz w:val="32"/>
          <w:szCs w:val="32"/>
        </w:rPr>
        <w:t>；</w:t>
      </w:r>
      <w:r>
        <w:rPr>
          <w:rFonts w:hint="eastAsia" w:eastAsia="仿宋_GB2312"/>
          <w:sz w:val="32"/>
          <w:szCs w:val="32"/>
        </w:rPr>
        <w:t>比</w:t>
      </w:r>
      <w:r>
        <w:rPr>
          <w:rFonts w:eastAsia="仿宋_GB2312"/>
          <w:sz w:val="32"/>
          <w:szCs w:val="32"/>
        </w:rPr>
        <w:t>201</w:t>
      </w:r>
      <w:r>
        <w:rPr>
          <w:rFonts w:hint="eastAsia" w:eastAsia="仿宋_GB2312"/>
          <w:sz w:val="32"/>
          <w:szCs w:val="32"/>
        </w:rPr>
        <w:t>7</w:t>
      </w:r>
      <w:r>
        <w:rPr>
          <w:rFonts w:eastAsia="仿宋_GB2312"/>
          <w:sz w:val="32"/>
          <w:szCs w:val="32"/>
        </w:rPr>
        <w:t>年度决算减少</w:t>
      </w:r>
      <w:r>
        <w:rPr>
          <w:rFonts w:hint="eastAsia" w:eastAsia="仿宋_GB2312"/>
          <w:sz w:val="32"/>
          <w:szCs w:val="32"/>
          <w:lang w:val="en-US" w:eastAsia="zh-CN"/>
        </w:rPr>
        <w:t>1.45</w:t>
      </w:r>
      <w:r>
        <w:rPr>
          <w:rFonts w:eastAsia="仿宋_GB2312"/>
          <w:sz w:val="32"/>
          <w:szCs w:val="32"/>
        </w:rPr>
        <w:t>万元，降低</w:t>
      </w:r>
      <w:r>
        <w:rPr>
          <w:rFonts w:hint="eastAsia" w:eastAsia="仿宋_GB2312"/>
          <w:sz w:val="32"/>
          <w:szCs w:val="32"/>
          <w:lang w:val="en-US" w:eastAsia="zh-CN"/>
        </w:rPr>
        <w:t>44</w:t>
      </w:r>
      <w:r>
        <w:rPr>
          <w:rFonts w:eastAsia="仿宋_GB2312"/>
          <w:sz w:val="32"/>
          <w:szCs w:val="32"/>
        </w:rPr>
        <w:t>%，主要是</w:t>
      </w:r>
      <w:r>
        <w:rPr>
          <w:rFonts w:hint="eastAsia" w:ascii="仿宋" w:hAnsi="仿宋" w:eastAsia="仿宋" w:cs="仿宋"/>
          <w:sz w:val="32"/>
          <w:szCs w:val="32"/>
        </w:rPr>
        <w:t>公车改革后，公车出行受限</w:t>
      </w:r>
      <w:r>
        <w:rPr>
          <w:rFonts w:eastAsia="仿宋_GB2312"/>
          <w:sz w:val="32"/>
          <w:szCs w:val="32"/>
        </w:rPr>
        <w:t>。具体情况如下：</w:t>
      </w:r>
    </w:p>
    <w:p>
      <w:pPr>
        <w:widowControl/>
        <w:spacing w:line="584" w:lineRule="exact"/>
        <w:ind w:firstLine="643" w:firstLineChars="200"/>
        <w:jc w:val="left"/>
        <w:rPr>
          <w:rFonts w:ascii="仿宋" w:hAnsi="仿宋" w:eastAsia="仿宋"/>
          <w:b/>
          <w:bCs/>
          <w:sz w:val="32"/>
          <w:szCs w:val="32"/>
        </w:rPr>
      </w:pPr>
      <w:r>
        <w:rPr>
          <w:rFonts w:eastAsia="楷体_GB2312"/>
          <w:b/>
          <w:bCs/>
          <w:sz w:val="32"/>
          <w:szCs w:val="32"/>
        </w:rPr>
        <w:t>（一）因公出国（境）费支出</w:t>
      </w:r>
      <w:r>
        <w:rPr>
          <w:rFonts w:hint="eastAsia" w:eastAsia="楷体_GB2312"/>
          <w:b/>
          <w:bCs/>
          <w:sz w:val="32"/>
          <w:szCs w:val="32"/>
        </w:rPr>
        <w:t>0</w:t>
      </w:r>
      <w:r>
        <w:rPr>
          <w:rFonts w:eastAsia="楷体_GB2312"/>
          <w:b/>
          <w:bCs/>
          <w:sz w:val="32"/>
          <w:szCs w:val="32"/>
        </w:rPr>
        <w:t>万元。</w:t>
      </w:r>
      <w:r>
        <w:rPr>
          <w:rFonts w:eastAsia="仿宋_GB2312"/>
          <w:sz w:val="32"/>
          <w:szCs w:val="32"/>
        </w:rPr>
        <w:t>本部门201</w:t>
      </w:r>
      <w:r>
        <w:rPr>
          <w:rFonts w:hint="eastAsia" w:eastAsia="仿宋_GB2312"/>
          <w:sz w:val="32"/>
          <w:szCs w:val="32"/>
        </w:rPr>
        <w:t>8</w:t>
      </w:r>
      <w:r>
        <w:rPr>
          <w:rFonts w:eastAsia="仿宋_GB2312"/>
          <w:sz w:val="32"/>
          <w:szCs w:val="32"/>
        </w:rPr>
        <w:t>年度</w:t>
      </w:r>
      <w:r>
        <w:rPr>
          <w:rFonts w:hint="eastAsia" w:ascii="仿宋_GB2312" w:eastAsia="仿宋_GB2312" w:cs="DengXian-Regular"/>
          <w:sz w:val="32"/>
          <w:szCs w:val="32"/>
        </w:rPr>
        <w:t>因公出国（境）团组0个、共0人/参加其他单位组织的因公出国（境）团组0个、共0人/无本单位组织的出国（境）团组。</w:t>
      </w:r>
      <w:r>
        <w:rPr>
          <w:rFonts w:hint="eastAsia" w:ascii="仿宋" w:hAnsi="仿宋" w:eastAsia="仿宋"/>
          <w:sz w:val="32"/>
          <w:szCs w:val="32"/>
        </w:rPr>
        <w:t>因公出国（境）费支出较年初预算无增减变化，较2017年度决算无增减变化。</w:t>
      </w:r>
    </w:p>
    <w:p>
      <w:pPr>
        <w:adjustRightInd w:val="0"/>
        <w:snapToGrid w:val="0"/>
        <w:spacing w:line="584" w:lineRule="exact"/>
        <w:ind w:firstLine="643" w:firstLineChars="200"/>
        <w:rPr>
          <w:rFonts w:eastAsia="仿宋_GB2312"/>
          <w:b/>
          <w:bCs/>
          <w:sz w:val="32"/>
          <w:szCs w:val="32"/>
        </w:rPr>
      </w:pPr>
      <w:r>
        <w:rPr>
          <w:rFonts w:eastAsia="楷体_GB2312"/>
          <w:b/>
          <w:bCs/>
          <w:sz w:val="32"/>
          <w:szCs w:val="32"/>
        </w:rPr>
        <w:t>（二）公务用车购置及运行维护费支出</w:t>
      </w:r>
      <w:r>
        <w:rPr>
          <w:rFonts w:hint="eastAsia" w:eastAsia="楷体_GB2312"/>
          <w:b/>
          <w:bCs/>
          <w:sz w:val="32"/>
          <w:szCs w:val="32"/>
          <w:lang w:val="en-US" w:eastAsia="zh-CN"/>
        </w:rPr>
        <w:t>1.85</w:t>
      </w:r>
      <w:r>
        <w:rPr>
          <w:rFonts w:eastAsia="楷体_GB2312"/>
          <w:b/>
          <w:bCs/>
          <w:sz w:val="32"/>
          <w:szCs w:val="32"/>
        </w:rPr>
        <w:t>万元。</w:t>
      </w:r>
      <w:r>
        <w:rPr>
          <w:rFonts w:hint="eastAsia" w:ascii="仿宋_GB2312" w:eastAsia="仿宋_GB2312" w:cs="DengXian-Regular"/>
          <w:sz w:val="32"/>
          <w:szCs w:val="32"/>
        </w:rPr>
        <w:t>本部门2018年度公务用车购置及运行维护费比年初预算</w:t>
      </w:r>
      <w:r>
        <w:rPr>
          <w:rFonts w:eastAsia="仿宋_GB2312"/>
          <w:sz w:val="32"/>
          <w:szCs w:val="32"/>
        </w:rPr>
        <w:t>减少</w:t>
      </w:r>
      <w:r>
        <w:rPr>
          <w:rFonts w:hint="eastAsia" w:eastAsia="仿宋_GB2312"/>
          <w:sz w:val="32"/>
          <w:szCs w:val="32"/>
          <w:lang w:val="en-US" w:eastAsia="zh-CN"/>
        </w:rPr>
        <w:t>4.15</w:t>
      </w:r>
      <w:r>
        <w:rPr>
          <w:rFonts w:eastAsia="仿宋_GB2312"/>
          <w:sz w:val="32"/>
          <w:szCs w:val="32"/>
        </w:rPr>
        <w:t>万元</w:t>
      </w:r>
      <w:r>
        <w:rPr>
          <w:rFonts w:hint="eastAsia" w:ascii="仿宋_GB2312" w:eastAsia="仿宋_GB2312" w:cs="DengXian-Regular"/>
          <w:sz w:val="32"/>
          <w:szCs w:val="32"/>
        </w:rPr>
        <w:t>，</w:t>
      </w:r>
      <w:r>
        <w:rPr>
          <w:rFonts w:eastAsia="仿宋_GB2312"/>
          <w:sz w:val="32"/>
          <w:szCs w:val="32"/>
        </w:rPr>
        <w:t>降低</w:t>
      </w:r>
      <w:r>
        <w:rPr>
          <w:rFonts w:hint="eastAsia" w:eastAsia="仿宋_GB2312"/>
          <w:sz w:val="32"/>
          <w:szCs w:val="32"/>
          <w:lang w:val="en-US" w:eastAsia="zh-CN"/>
        </w:rPr>
        <w:t>69.17</w:t>
      </w:r>
      <w:r>
        <w:rPr>
          <w:rFonts w:eastAsia="仿宋_GB2312"/>
          <w:sz w:val="32"/>
          <w:szCs w:val="32"/>
        </w:rPr>
        <w:t>%</w:t>
      </w:r>
      <w:r>
        <w:rPr>
          <w:rFonts w:hint="eastAsia" w:ascii="仿宋_GB2312" w:eastAsia="仿宋_GB2312" w:cs="DengXian-Regular"/>
          <w:sz w:val="32"/>
          <w:szCs w:val="32"/>
        </w:rPr>
        <w:t>,主要是</w:t>
      </w:r>
      <w:r>
        <w:rPr>
          <w:rFonts w:hint="eastAsia" w:ascii="仿宋" w:hAnsi="仿宋" w:eastAsia="仿宋" w:cs="仿宋"/>
          <w:sz w:val="32"/>
          <w:szCs w:val="32"/>
        </w:rPr>
        <w:t>公车改革后，公车出行受限</w:t>
      </w:r>
      <w:r>
        <w:rPr>
          <w:rFonts w:hint="eastAsia" w:ascii="仿宋_GB2312" w:eastAsia="仿宋_GB2312" w:cs="DengXian-Regular"/>
          <w:sz w:val="32"/>
          <w:szCs w:val="32"/>
        </w:rPr>
        <w:t>；</w:t>
      </w:r>
      <w:r>
        <w:rPr>
          <w:rFonts w:hint="eastAsia" w:eastAsia="仿宋_GB2312"/>
          <w:sz w:val="32"/>
          <w:szCs w:val="32"/>
        </w:rPr>
        <w:t>比</w:t>
      </w:r>
      <w:r>
        <w:rPr>
          <w:rFonts w:eastAsia="仿宋_GB2312"/>
          <w:sz w:val="32"/>
          <w:szCs w:val="32"/>
        </w:rPr>
        <w:t>201</w:t>
      </w:r>
      <w:r>
        <w:rPr>
          <w:rFonts w:hint="eastAsia" w:eastAsia="仿宋_GB2312"/>
          <w:sz w:val="32"/>
          <w:szCs w:val="32"/>
        </w:rPr>
        <w:t>7</w:t>
      </w:r>
      <w:r>
        <w:rPr>
          <w:rFonts w:eastAsia="仿宋_GB2312"/>
          <w:sz w:val="32"/>
          <w:szCs w:val="32"/>
        </w:rPr>
        <w:t>年度决算减少</w:t>
      </w:r>
      <w:r>
        <w:rPr>
          <w:rFonts w:hint="eastAsia" w:eastAsia="仿宋_GB2312"/>
          <w:sz w:val="32"/>
          <w:szCs w:val="32"/>
          <w:lang w:val="en-US" w:eastAsia="zh-CN"/>
        </w:rPr>
        <w:t>1.45</w:t>
      </w:r>
      <w:r>
        <w:rPr>
          <w:rFonts w:eastAsia="仿宋_GB2312"/>
          <w:sz w:val="32"/>
          <w:szCs w:val="32"/>
        </w:rPr>
        <w:t>万元，降低</w:t>
      </w:r>
      <w:r>
        <w:rPr>
          <w:rFonts w:hint="eastAsia" w:eastAsia="仿宋_GB2312"/>
          <w:sz w:val="32"/>
          <w:szCs w:val="32"/>
          <w:lang w:val="en-US" w:eastAsia="zh-CN"/>
        </w:rPr>
        <w:t>44</w:t>
      </w:r>
      <w:r>
        <w:rPr>
          <w:rFonts w:eastAsia="仿宋_GB2312"/>
          <w:sz w:val="32"/>
          <w:szCs w:val="32"/>
        </w:rPr>
        <w:t>%，主要是</w:t>
      </w:r>
      <w:r>
        <w:rPr>
          <w:rFonts w:hint="eastAsia" w:ascii="仿宋" w:hAnsi="仿宋" w:eastAsia="仿宋" w:cs="仿宋"/>
          <w:sz w:val="32"/>
          <w:szCs w:val="32"/>
        </w:rPr>
        <w:t>公车改革后，公车出行受限</w:t>
      </w:r>
      <w:r>
        <w:rPr>
          <w:rFonts w:eastAsia="仿宋_GB2312"/>
          <w:sz w:val="32"/>
          <w:szCs w:val="32"/>
        </w:rPr>
        <w:t>。</w:t>
      </w:r>
      <w:r>
        <w:rPr>
          <w:rFonts w:eastAsia="仿宋_GB2312"/>
          <w:b/>
          <w:bCs/>
          <w:sz w:val="32"/>
          <w:szCs w:val="32"/>
        </w:rPr>
        <w:t>其中：</w:t>
      </w:r>
    </w:p>
    <w:p>
      <w:pPr>
        <w:adjustRightInd w:val="0"/>
        <w:snapToGrid w:val="0"/>
        <w:spacing w:line="584" w:lineRule="exact"/>
        <w:ind w:firstLine="643" w:firstLineChars="200"/>
        <w:rPr>
          <w:rFonts w:eastAsia="仿宋_GB2312"/>
          <w:sz w:val="32"/>
          <w:szCs w:val="32"/>
          <w:highlight w:val="yellow"/>
        </w:rPr>
      </w:pPr>
      <w:r>
        <w:rPr>
          <w:rFonts w:eastAsia="仿宋_GB2312"/>
          <w:b/>
          <w:sz w:val="32"/>
          <w:szCs w:val="32"/>
        </w:rPr>
        <w:t>公务用车购置费支出</w:t>
      </w:r>
      <w:r>
        <w:rPr>
          <w:rFonts w:hint="eastAsia" w:eastAsia="仿宋_GB2312"/>
          <w:b/>
          <w:sz w:val="32"/>
          <w:szCs w:val="32"/>
        </w:rPr>
        <w:t>0</w:t>
      </w:r>
      <w:r>
        <w:rPr>
          <w:rFonts w:eastAsia="仿宋_GB2312"/>
          <w:b/>
          <w:sz w:val="32"/>
          <w:szCs w:val="32"/>
        </w:rPr>
        <w:t>万元。</w:t>
      </w:r>
      <w:r>
        <w:rPr>
          <w:rFonts w:eastAsia="仿宋_GB2312"/>
          <w:sz w:val="32"/>
          <w:szCs w:val="32"/>
        </w:rPr>
        <w:t>本部门201</w:t>
      </w:r>
      <w:r>
        <w:rPr>
          <w:rFonts w:hint="eastAsia" w:eastAsia="仿宋_GB2312"/>
          <w:sz w:val="32"/>
          <w:szCs w:val="32"/>
        </w:rPr>
        <w:t>8</w:t>
      </w:r>
      <w:r>
        <w:rPr>
          <w:rFonts w:eastAsia="仿宋_GB2312"/>
          <w:sz w:val="32"/>
          <w:szCs w:val="32"/>
        </w:rPr>
        <w:t>年度公务用车购置数量</w:t>
      </w:r>
      <w:r>
        <w:rPr>
          <w:rFonts w:hint="eastAsia" w:eastAsia="仿宋_GB2312"/>
          <w:sz w:val="32"/>
          <w:szCs w:val="32"/>
        </w:rPr>
        <w:t>0</w:t>
      </w:r>
      <w:r>
        <w:rPr>
          <w:rFonts w:eastAsia="仿宋_GB2312"/>
          <w:sz w:val="32"/>
          <w:szCs w:val="32"/>
        </w:rPr>
        <w:t>辆。公务用车购置费支出</w:t>
      </w:r>
      <w:r>
        <w:rPr>
          <w:rFonts w:hint="eastAsia" w:eastAsia="仿宋_GB2312"/>
          <w:sz w:val="32"/>
          <w:szCs w:val="32"/>
        </w:rPr>
        <w:t>较</w:t>
      </w:r>
      <w:r>
        <w:rPr>
          <w:rFonts w:eastAsia="仿宋_GB2312"/>
          <w:sz w:val="32"/>
          <w:szCs w:val="32"/>
        </w:rPr>
        <w:t>年初预算</w:t>
      </w:r>
      <w:r>
        <w:rPr>
          <w:rFonts w:hint="eastAsia" w:eastAsia="仿宋_GB2312"/>
          <w:sz w:val="32"/>
          <w:szCs w:val="32"/>
        </w:rPr>
        <w:t>无增减变化</w:t>
      </w:r>
      <w:r>
        <w:rPr>
          <w:rFonts w:eastAsia="仿宋_GB2312"/>
          <w:sz w:val="32"/>
          <w:szCs w:val="32"/>
        </w:rPr>
        <w:t>；</w:t>
      </w:r>
      <w:r>
        <w:rPr>
          <w:rFonts w:hint="eastAsia" w:eastAsia="仿宋_GB2312"/>
          <w:sz w:val="32"/>
          <w:szCs w:val="32"/>
        </w:rPr>
        <w:t>较</w:t>
      </w:r>
      <w:r>
        <w:rPr>
          <w:rFonts w:eastAsia="仿宋_GB2312"/>
          <w:sz w:val="32"/>
          <w:szCs w:val="32"/>
        </w:rPr>
        <w:t>201</w:t>
      </w:r>
      <w:r>
        <w:rPr>
          <w:rFonts w:hint="eastAsia" w:eastAsia="仿宋_GB2312"/>
          <w:sz w:val="32"/>
          <w:szCs w:val="32"/>
        </w:rPr>
        <w:t>7</w:t>
      </w:r>
      <w:r>
        <w:rPr>
          <w:rFonts w:eastAsia="仿宋_GB2312"/>
          <w:sz w:val="32"/>
          <w:szCs w:val="32"/>
        </w:rPr>
        <w:t>年度决算</w:t>
      </w:r>
      <w:r>
        <w:rPr>
          <w:rFonts w:hint="eastAsia" w:eastAsia="仿宋_GB2312"/>
          <w:sz w:val="32"/>
          <w:szCs w:val="32"/>
        </w:rPr>
        <w:t>无</w:t>
      </w:r>
      <w:r>
        <w:rPr>
          <w:rFonts w:eastAsia="仿宋_GB2312"/>
          <w:sz w:val="32"/>
          <w:szCs w:val="32"/>
        </w:rPr>
        <w:t>增减</w:t>
      </w:r>
      <w:r>
        <w:rPr>
          <w:rFonts w:hint="eastAsia" w:eastAsia="仿宋_GB2312"/>
          <w:sz w:val="32"/>
          <w:szCs w:val="32"/>
        </w:rPr>
        <w:t>变化</w:t>
      </w:r>
      <w:r>
        <w:rPr>
          <w:rFonts w:eastAsia="仿宋_GB2312"/>
          <w:sz w:val="32"/>
          <w:szCs w:val="32"/>
        </w:rPr>
        <w:t>。</w:t>
      </w:r>
    </w:p>
    <w:p>
      <w:pPr>
        <w:adjustRightInd w:val="0"/>
        <w:snapToGrid w:val="0"/>
        <w:spacing w:line="584" w:lineRule="exact"/>
        <w:ind w:firstLine="643" w:firstLineChars="200"/>
        <w:rPr>
          <w:rFonts w:eastAsia="仿宋_GB2312"/>
          <w:sz w:val="32"/>
          <w:szCs w:val="32"/>
          <w:highlight w:val="yellow"/>
        </w:rPr>
      </w:pPr>
      <w:r>
        <w:rPr>
          <w:rFonts w:eastAsia="仿宋_GB2312"/>
          <w:b/>
          <w:sz w:val="32"/>
          <w:szCs w:val="32"/>
        </w:rPr>
        <w:t>公务用车运行维护费支出</w:t>
      </w:r>
      <w:r>
        <w:rPr>
          <w:rFonts w:hint="eastAsia" w:eastAsia="仿宋_GB2312"/>
          <w:b/>
          <w:sz w:val="32"/>
          <w:szCs w:val="32"/>
          <w:lang w:val="en-US" w:eastAsia="zh-CN"/>
        </w:rPr>
        <w:t>1.85</w:t>
      </w:r>
      <w:r>
        <w:rPr>
          <w:rFonts w:eastAsia="仿宋_GB2312"/>
          <w:b/>
          <w:sz w:val="32"/>
          <w:szCs w:val="32"/>
        </w:rPr>
        <w:t>万元。</w:t>
      </w:r>
      <w:r>
        <w:rPr>
          <w:rFonts w:eastAsia="仿宋_GB2312"/>
          <w:sz w:val="32"/>
          <w:szCs w:val="32"/>
        </w:rPr>
        <w:t>本部门201</w:t>
      </w:r>
      <w:r>
        <w:rPr>
          <w:rFonts w:hint="eastAsia" w:eastAsia="仿宋_GB2312"/>
          <w:sz w:val="32"/>
          <w:szCs w:val="32"/>
        </w:rPr>
        <w:t>8</w:t>
      </w:r>
      <w:r>
        <w:rPr>
          <w:rFonts w:eastAsia="仿宋_GB2312"/>
          <w:sz w:val="32"/>
          <w:szCs w:val="32"/>
        </w:rPr>
        <w:t>年末单位公务用车保有量</w:t>
      </w:r>
      <w:r>
        <w:rPr>
          <w:rFonts w:hint="eastAsia" w:eastAsia="仿宋_GB2312"/>
          <w:sz w:val="32"/>
          <w:szCs w:val="32"/>
          <w:lang w:val="en-US" w:eastAsia="zh-CN"/>
        </w:rPr>
        <w:t>2</w:t>
      </w:r>
      <w:r>
        <w:rPr>
          <w:rFonts w:eastAsia="仿宋_GB2312"/>
          <w:sz w:val="32"/>
          <w:szCs w:val="32"/>
        </w:rPr>
        <w:t>辆。公车运行维护费支出</w:t>
      </w:r>
      <w:r>
        <w:rPr>
          <w:rFonts w:hint="eastAsia" w:eastAsia="仿宋_GB2312"/>
          <w:sz w:val="32"/>
          <w:szCs w:val="32"/>
        </w:rPr>
        <w:t>比</w:t>
      </w:r>
      <w:r>
        <w:rPr>
          <w:rFonts w:eastAsia="仿宋_GB2312"/>
          <w:sz w:val="32"/>
          <w:szCs w:val="32"/>
        </w:rPr>
        <w:t>年初预算减少</w:t>
      </w:r>
      <w:r>
        <w:rPr>
          <w:rFonts w:hint="eastAsia" w:eastAsia="仿宋_GB2312"/>
          <w:sz w:val="32"/>
          <w:szCs w:val="32"/>
          <w:lang w:val="en-US" w:eastAsia="zh-CN"/>
        </w:rPr>
        <w:t>4.15</w:t>
      </w:r>
      <w:r>
        <w:rPr>
          <w:rFonts w:eastAsia="仿宋_GB2312"/>
          <w:sz w:val="32"/>
          <w:szCs w:val="32"/>
        </w:rPr>
        <w:t>万元，降低</w:t>
      </w:r>
      <w:r>
        <w:rPr>
          <w:rFonts w:hint="eastAsia" w:eastAsia="仿宋_GB2312"/>
          <w:sz w:val="32"/>
          <w:szCs w:val="32"/>
          <w:lang w:val="en-US" w:eastAsia="zh-CN"/>
        </w:rPr>
        <w:t>69.17</w:t>
      </w:r>
      <w:r>
        <w:rPr>
          <w:rFonts w:eastAsia="仿宋_GB2312"/>
          <w:sz w:val="32"/>
          <w:szCs w:val="32"/>
        </w:rPr>
        <w:t>%，主要是</w:t>
      </w:r>
      <w:r>
        <w:rPr>
          <w:rFonts w:hint="eastAsia" w:ascii="仿宋" w:hAnsi="仿宋" w:eastAsia="仿宋" w:cs="仿宋"/>
          <w:sz w:val="32"/>
          <w:szCs w:val="32"/>
        </w:rPr>
        <w:t>公车改革后，公车出行受限</w:t>
      </w:r>
      <w:r>
        <w:rPr>
          <w:rFonts w:hint="eastAsia" w:ascii="仿宋_GB2312" w:eastAsia="仿宋_GB2312" w:cs="DengXian-Regular"/>
          <w:sz w:val="32"/>
          <w:szCs w:val="32"/>
        </w:rPr>
        <w:t>；</w:t>
      </w:r>
      <w:r>
        <w:rPr>
          <w:rFonts w:hint="eastAsia" w:eastAsia="仿宋_GB2312"/>
          <w:sz w:val="32"/>
          <w:szCs w:val="32"/>
        </w:rPr>
        <w:t>比</w:t>
      </w:r>
      <w:r>
        <w:rPr>
          <w:rFonts w:eastAsia="仿宋_GB2312"/>
          <w:sz w:val="32"/>
          <w:szCs w:val="32"/>
        </w:rPr>
        <w:t>201</w:t>
      </w:r>
      <w:r>
        <w:rPr>
          <w:rFonts w:hint="eastAsia" w:eastAsia="仿宋_GB2312"/>
          <w:sz w:val="32"/>
          <w:szCs w:val="32"/>
        </w:rPr>
        <w:t>7</w:t>
      </w:r>
      <w:r>
        <w:rPr>
          <w:rFonts w:eastAsia="仿宋_GB2312"/>
          <w:sz w:val="32"/>
          <w:szCs w:val="32"/>
        </w:rPr>
        <w:t>年度决算减少</w:t>
      </w:r>
      <w:r>
        <w:rPr>
          <w:rFonts w:hint="eastAsia" w:eastAsia="仿宋_GB2312"/>
          <w:sz w:val="32"/>
          <w:szCs w:val="32"/>
          <w:lang w:val="en-US" w:eastAsia="zh-CN"/>
        </w:rPr>
        <w:t>1.45</w:t>
      </w:r>
      <w:r>
        <w:rPr>
          <w:rFonts w:eastAsia="仿宋_GB2312"/>
          <w:sz w:val="32"/>
          <w:szCs w:val="32"/>
        </w:rPr>
        <w:t>万元，降低</w:t>
      </w:r>
      <w:r>
        <w:rPr>
          <w:rFonts w:hint="eastAsia" w:eastAsia="仿宋_GB2312"/>
          <w:sz w:val="32"/>
          <w:szCs w:val="32"/>
          <w:lang w:val="en-US" w:eastAsia="zh-CN"/>
        </w:rPr>
        <w:t>44</w:t>
      </w:r>
      <w:r>
        <w:rPr>
          <w:rFonts w:eastAsia="仿宋_GB2312"/>
          <w:sz w:val="32"/>
          <w:szCs w:val="32"/>
        </w:rPr>
        <w:t>%，主要是</w:t>
      </w:r>
      <w:r>
        <w:rPr>
          <w:rFonts w:hint="eastAsia" w:ascii="仿宋" w:hAnsi="仿宋" w:eastAsia="仿宋" w:cs="仿宋"/>
          <w:sz w:val="32"/>
          <w:szCs w:val="32"/>
        </w:rPr>
        <w:t>公车改革后，公车出行受限</w:t>
      </w:r>
      <w:r>
        <w:rPr>
          <w:rFonts w:eastAsia="仿宋_GB2312"/>
          <w:sz w:val="32"/>
          <w:szCs w:val="32"/>
        </w:rPr>
        <w:t>。</w:t>
      </w:r>
    </w:p>
    <w:p>
      <w:pPr>
        <w:adjustRightInd w:val="0"/>
        <w:snapToGrid w:val="0"/>
        <w:spacing w:line="584" w:lineRule="exact"/>
        <w:ind w:firstLine="643" w:firstLineChars="200"/>
        <w:rPr>
          <w:rFonts w:eastAsia="仿宋_GB2312"/>
          <w:sz w:val="32"/>
          <w:szCs w:val="32"/>
          <w:highlight w:val="yellow"/>
        </w:rPr>
      </w:pPr>
      <w:r>
        <w:rPr>
          <w:rFonts w:eastAsia="楷体_GB2312"/>
          <w:b/>
          <w:bCs/>
          <w:sz w:val="32"/>
          <w:szCs w:val="32"/>
        </w:rPr>
        <w:t>（三）公务接待费支出</w:t>
      </w:r>
      <w:r>
        <w:rPr>
          <w:rFonts w:hint="eastAsia" w:eastAsia="楷体_GB2312"/>
          <w:b/>
          <w:bCs/>
          <w:sz w:val="32"/>
          <w:szCs w:val="32"/>
        </w:rPr>
        <w:t>0</w:t>
      </w:r>
      <w:r>
        <w:rPr>
          <w:rFonts w:eastAsia="楷体_GB2312"/>
          <w:b/>
          <w:bCs/>
          <w:sz w:val="32"/>
          <w:szCs w:val="32"/>
        </w:rPr>
        <w:t>万元。</w:t>
      </w:r>
      <w:r>
        <w:rPr>
          <w:rFonts w:eastAsia="仿宋_GB2312"/>
          <w:sz w:val="32"/>
          <w:szCs w:val="32"/>
        </w:rPr>
        <w:t>本部门201</w:t>
      </w:r>
      <w:r>
        <w:rPr>
          <w:rFonts w:hint="eastAsia" w:eastAsia="仿宋_GB2312"/>
          <w:sz w:val="32"/>
          <w:szCs w:val="32"/>
        </w:rPr>
        <w:t>8</w:t>
      </w:r>
      <w:r>
        <w:rPr>
          <w:rFonts w:eastAsia="仿宋_GB2312"/>
          <w:sz w:val="32"/>
          <w:szCs w:val="32"/>
        </w:rPr>
        <w:t>年度公务接待共</w:t>
      </w:r>
      <w:r>
        <w:rPr>
          <w:rFonts w:hint="eastAsia" w:eastAsia="仿宋_GB2312"/>
          <w:sz w:val="32"/>
          <w:szCs w:val="32"/>
        </w:rPr>
        <w:t>0</w:t>
      </w:r>
      <w:r>
        <w:rPr>
          <w:rFonts w:eastAsia="仿宋_GB2312"/>
          <w:sz w:val="32"/>
          <w:szCs w:val="32"/>
        </w:rPr>
        <w:t>批次、</w:t>
      </w:r>
      <w:r>
        <w:rPr>
          <w:rFonts w:hint="eastAsia" w:eastAsia="仿宋_GB2312"/>
          <w:sz w:val="32"/>
          <w:szCs w:val="32"/>
        </w:rPr>
        <w:t>0</w:t>
      </w:r>
      <w:r>
        <w:rPr>
          <w:rFonts w:eastAsia="仿宋_GB2312"/>
          <w:sz w:val="32"/>
          <w:szCs w:val="32"/>
        </w:rPr>
        <w:t>人次。公务接待费支出</w:t>
      </w:r>
      <w:r>
        <w:rPr>
          <w:rFonts w:hint="eastAsia" w:eastAsia="仿宋_GB2312"/>
          <w:sz w:val="32"/>
          <w:szCs w:val="32"/>
        </w:rPr>
        <w:t>较</w:t>
      </w:r>
      <w:r>
        <w:rPr>
          <w:rFonts w:eastAsia="仿宋_GB2312"/>
          <w:sz w:val="32"/>
          <w:szCs w:val="32"/>
        </w:rPr>
        <w:t>年初预算</w:t>
      </w:r>
      <w:r>
        <w:rPr>
          <w:rFonts w:hint="eastAsia" w:eastAsia="仿宋_GB2312"/>
          <w:sz w:val="32"/>
          <w:szCs w:val="32"/>
        </w:rPr>
        <w:t>无增减变化</w:t>
      </w:r>
      <w:r>
        <w:rPr>
          <w:rFonts w:eastAsia="仿宋_GB2312"/>
          <w:sz w:val="32"/>
          <w:szCs w:val="32"/>
        </w:rPr>
        <w:t>；</w:t>
      </w:r>
      <w:r>
        <w:rPr>
          <w:rFonts w:hint="eastAsia" w:eastAsia="仿宋_GB2312"/>
          <w:sz w:val="32"/>
          <w:szCs w:val="32"/>
        </w:rPr>
        <w:t>较</w:t>
      </w:r>
      <w:r>
        <w:rPr>
          <w:rFonts w:eastAsia="仿宋_GB2312"/>
          <w:sz w:val="32"/>
          <w:szCs w:val="32"/>
        </w:rPr>
        <w:t>201</w:t>
      </w:r>
      <w:r>
        <w:rPr>
          <w:rFonts w:hint="eastAsia" w:eastAsia="仿宋_GB2312"/>
          <w:sz w:val="32"/>
          <w:szCs w:val="32"/>
        </w:rPr>
        <w:t>7</w:t>
      </w:r>
      <w:r>
        <w:rPr>
          <w:rFonts w:eastAsia="仿宋_GB2312"/>
          <w:sz w:val="32"/>
          <w:szCs w:val="32"/>
        </w:rPr>
        <w:t>年度决算</w:t>
      </w:r>
      <w:r>
        <w:rPr>
          <w:rFonts w:hint="eastAsia" w:eastAsia="仿宋_GB2312"/>
          <w:sz w:val="32"/>
          <w:szCs w:val="32"/>
        </w:rPr>
        <w:t>无</w:t>
      </w:r>
      <w:r>
        <w:rPr>
          <w:rFonts w:eastAsia="仿宋_GB2312"/>
          <w:sz w:val="32"/>
          <w:szCs w:val="32"/>
        </w:rPr>
        <w:t>增减</w:t>
      </w:r>
      <w:r>
        <w:rPr>
          <w:rFonts w:hint="eastAsia" w:eastAsia="仿宋_GB2312"/>
          <w:sz w:val="32"/>
          <w:szCs w:val="32"/>
        </w:rPr>
        <w:t>变化</w:t>
      </w:r>
      <w:r>
        <w:rPr>
          <w:rFonts w:eastAsia="仿宋_GB2312"/>
          <w:sz w:val="32"/>
          <w:szCs w:val="32"/>
        </w:rPr>
        <w:t>。</w:t>
      </w:r>
    </w:p>
    <w:p>
      <w:pPr>
        <w:adjustRightInd w:val="0"/>
        <w:snapToGrid w:val="0"/>
        <w:spacing w:after="0" w:line="580" w:lineRule="exact"/>
        <w:ind w:firstLine="640" w:firstLineChars="200"/>
        <w:rPr>
          <w:rFonts w:ascii="黑体" w:eastAsia="黑体"/>
          <w:sz w:val="32"/>
          <w:szCs w:val="40"/>
        </w:rPr>
      </w:pPr>
      <w:r>
        <w:rPr>
          <w:rFonts w:hint="eastAsia" w:ascii="黑体" w:eastAsia="黑体"/>
          <w:sz w:val="32"/>
          <w:szCs w:val="40"/>
        </w:rPr>
        <w:t>六、预算绩效情况说明</w:t>
      </w:r>
    </w:p>
    <w:p>
      <w:pPr>
        <w:spacing w:line="584" w:lineRule="exact"/>
        <w:ind w:firstLine="643" w:firstLineChars="200"/>
        <w:rPr>
          <w:rFonts w:ascii="Times New Roman" w:hAnsi="Times New Roman" w:eastAsia="楷体_GB2312" w:cs="Times New Roman"/>
          <w:b/>
          <w:bCs/>
          <w:color w:val="000000"/>
          <w:sz w:val="32"/>
          <w:szCs w:val="32"/>
        </w:rPr>
      </w:pPr>
      <w:r>
        <w:rPr>
          <w:rFonts w:ascii="Times New Roman" w:hAnsi="Times New Roman" w:eastAsia="楷体_GB2312" w:cs="Times New Roman"/>
          <w:b/>
          <w:bCs/>
          <w:color w:val="000000"/>
          <w:sz w:val="32"/>
          <w:szCs w:val="32"/>
        </w:rPr>
        <w:t>（一）预效管理工作开展情况</w:t>
      </w:r>
    </w:p>
    <w:p>
      <w:pPr>
        <w:adjustRightInd w:val="0"/>
        <w:snapToGrid w:val="0"/>
        <w:spacing w:line="584" w:lineRule="exact"/>
        <w:ind w:firstLine="640" w:firstLineChars="200"/>
        <w:rPr>
          <w:rFonts w:hint="default" w:ascii="仿宋_GB2312" w:eastAsia="仿宋_GB2312" w:cs="DengXian-Regular"/>
          <w:sz w:val="32"/>
          <w:szCs w:val="32"/>
          <w:lang w:val="en-US" w:eastAsia="zh-CN"/>
        </w:rPr>
      </w:pPr>
      <w:r>
        <w:rPr>
          <w:rFonts w:ascii="Times New Roman" w:hAnsi="Times New Roman" w:eastAsia="仿宋_GB2312" w:cs="Times New Roman"/>
          <w:color w:val="000000"/>
          <w:sz w:val="32"/>
          <w:szCs w:val="32"/>
        </w:rPr>
        <w:t>根据预算绩效管理要求，本部门对201</w:t>
      </w:r>
      <w:r>
        <w:rPr>
          <w:rFonts w:hint="eastAsia" w:eastAsia="仿宋_GB2312" w:cs="Times New Roman"/>
          <w:color w:val="000000"/>
          <w:sz w:val="32"/>
          <w:szCs w:val="32"/>
          <w:lang w:val="en-US" w:eastAsia="zh-CN"/>
        </w:rPr>
        <w:t>8</w:t>
      </w:r>
      <w:r>
        <w:rPr>
          <w:rFonts w:ascii="Times New Roman" w:hAnsi="Times New Roman" w:eastAsia="仿宋_GB2312" w:cs="Times New Roman"/>
          <w:color w:val="000000"/>
          <w:sz w:val="32"/>
          <w:szCs w:val="32"/>
        </w:rPr>
        <w:t>年度整体绩效实现情况和项目支出情况开展绩效评价。组织对201</w:t>
      </w:r>
      <w:r>
        <w:rPr>
          <w:rFonts w:hint="eastAsia" w:eastAsia="仿宋_GB2312" w:cs="Times New Roman"/>
          <w:color w:val="000000"/>
          <w:sz w:val="32"/>
          <w:szCs w:val="32"/>
          <w:lang w:val="en-US" w:eastAsia="zh-CN"/>
        </w:rPr>
        <w:t>8</w:t>
      </w:r>
      <w:r>
        <w:rPr>
          <w:rFonts w:ascii="Times New Roman" w:hAnsi="Times New Roman" w:eastAsia="仿宋_GB2312" w:cs="Times New Roman"/>
          <w:color w:val="000000"/>
          <w:sz w:val="32"/>
          <w:szCs w:val="32"/>
        </w:rPr>
        <w:t>年度一般公共预算项目支出全面开展绩效自评，项目</w:t>
      </w:r>
      <w:r>
        <w:rPr>
          <w:rFonts w:hint="eastAsia" w:eastAsia="仿宋_GB2312" w:cs="Times New Roman"/>
          <w:color w:val="000000"/>
          <w:sz w:val="32"/>
          <w:szCs w:val="32"/>
          <w:lang w:val="en-US" w:eastAsia="zh-CN"/>
        </w:rPr>
        <w:t>2</w:t>
      </w:r>
      <w:r>
        <w:rPr>
          <w:rFonts w:ascii="Times New Roman" w:hAnsi="Times New Roman" w:eastAsia="仿宋_GB2312" w:cs="Times New Roman"/>
          <w:color w:val="000000"/>
          <w:sz w:val="32"/>
          <w:szCs w:val="32"/>
        </w:rPr>
        <w:t>个，涉及资金</w:t>
      </w:r>
      <w:r>
        <w:rPr>
          <w:rFonts w:hint="eastAsia" w:eastAsia="仿宋_GB2312" w:cs="Times New Roman"/>
          <w:color w:val="000000"/>
          <w:sz w:val="32"/>
          <w:szCs w:val="32"/>
          <w:lang w:val="en-US" w:eastAsia="zh-CN"/>
        </w:rPr>
        <w:t>223.5</w:t>
      </w:r>
      <w:r>
        <w:rPr>
          <w:rFonts w:ascii="Times New Roman" w:hAnsi="Times New Roman" w:eastAsia="仿宋_GB2312" w:cs="Times New Roman"/>
          <w:color w:val="000000"/>
          <w:sz w:val="32"/>
          <w:szCs w:val="32"/>
        </w:rPr>
        <w:t>万元，占一般公共预算项目支出总额的</w:t>
      </w:r>
      <w:r>
        <w:rPr>
          <w:rFonts w:hint="eastAsia" w:eastAsia="仿宋_GB2312" w:cs="Times New Roman"/>
          <w:color w:val="000000"/>
          <w:sz w:val="32"/>
          <w:szCs w:val="32"/>
          <w:lang w:val="en-US" w:eastAsia="zh-CN"/>
        </w:rPr>
        <w:t>66.61%</w:t>
      </w:r>
      <w:r>
        <w:rPr>
          <w:rFonts w:ascii="Times New Roman" w:hAnsi="Times New Roman" w:eastAsia="仿宋_GB2312" w:cs="Times New Roman"/>
          <w:color w:val="000000"/>
          <w:sz w:val="32"/>
          <w:szCs w:val="32"/>
        </w:rPr>
        <w:t>。组织对“</w:t>
      </w:r>
      <w:r>
        <w:rPr>
          <w:rFonts w:hint="eastAsia" w:eastAsia="仿宋_GB2312" w:cs="Times New Roman"/>
          <w:color w:val="000000"/>
          <w:sz w:val="32"/>
          <w:szCs w:val="32"/>
          <w:lang w:val="en-US" w:eastAsia="zh-CN"/>
        </w:rPr>
        <w:t>购买社会服务费</w:t>
      </w:r>
      <w:r>
        <w:rPr>
          <w:rFonts w:ascii="Times New Roman" w:hAnsi="Times New Roman" w:eastAsia="仿宋_GB2312" w:cs="Times New Roman"/>
          <w:color w:val="000000"/>
          <w:sz w:val="32"/>
          <w:szCs w:val="32"/>
        </w:rPr>
        <w:t>”“</w:t>
      </w:r>
      <w:r>
        <w:rPr>
          <w:rFonts w:hint="eastAsia" w:eastAsia="仿宋_GB2312" w:cs="Times New Roman"/>
          <w:color w:val="000000"/>
          <w:sz w:val="32"/>
          <w:szCs w:val="32"/>
          <w:lang w:val="en-US" w:eastAsia="zh-CN"/>
        </w:rPr>
        <w:t>金审工程网络建设费</w:t>
      </w:r>
      <w:r>
        <w:rPr>
          <w:rFonts w:ascii="Times New Roman" w:hAnsi="Times New Roman" w:eastAsia="仿宋_GB2312" w:cs="Times New Roman"/>
          <w:color w:val="000000"/>
          <w:sz w:val="32"/>
          <w:szCs w:val="32"/>
        </w:rPr>
        <w:t>”等</w:t>
      </w:r>
      <w:r>
        <w:rPr>
          <w:rFonts w:hint="eastAsia" w:eastAsia="仿宋_GB2312" w:cs="Times New Roman"/>
          <w:color w:val="000000"/>
          <w:sz w:val="32"/>
          <w:szCs w:val="32"/>
          <w:lang w:val="en-US" w:eastAsia="zh-CN"/>
        </w:rPr>
        <w:t>2</w:t>
      </w:r>
      <w:r>
        <w:rPr>
          <w:rFonts w:ascii="Times New Roman" w:hAnsi="Times New Roman" w:eastAsia="仿宋_GB2312" w:cs="Times New Roman"/>
          <w:color w:val="000000"/>
          <w:sz w:val="32"/>
          <w:szCs w:val="32"/>
        </w:rPr>
        <w:t>个项目开展了部门评价，涉及一般公共预算支出</w:t>
      </w:r>
      <w:r>
        <w:rPr>
          <w:rFonts w:hint="eastAsia" w:eastAsia="仿宋_GB2312" w:cs="Times New Roman"/>
          <w:color w:val="000000"/>
          <w:sz w:val="32"/>
          <w:szCs w:val="32"/>
          <w:lang w:val="en-US" w:eastAsia="zh-CN"/>
        </w:rPr>
        <w:t>223.5</w:t>
      </w:r>
      <w:r>
        <w:rPr>
          <w:rFonts w:ascii="Times New Roman" w:hAnsi="Times New Roman" w:eastAsia="仿宋_GB2312" w:cs="Times New Roman"/>
          <w:color w:val="000000"/>
          <w:sz w:val="32"/>
          <w:szCs w:val="32"/>
        </w:rPr>
        <w:t>万元</w:t>
      </w:r>
      <w:r>
        <w:rPr>
          <w:rFonts w:hint="eastAsia" w:eastAsia="仿宋_GB2312" w:cs="Times New Roman"/>
          <w:color w:val="000000"/>
          <w:sz w:val="32"/>
          <w:szCs w:val="32"/>
          <w:lang w:eastAsia="zh-CN"/>
        </w:rPr>
        <w:t>。</w:t>
      </w:r>
      <w:r>
        <w:rPr>
          <w:rFonts w:ascii="Times New Roman" w:hAnsi="Times New Roman" w:eastAsia="仿宋_GB2312" w:cs="Times New Roman"/>
          <w:color w:val="000000"/>
          <w:sz w:val="32"/>
          <w:szCs w:val="32"/>
        </w:rPr>
        <w:t>从评价情况来看，</w:t>
      </w:r>
      <w:r>
        <w:rPr>
          <w:rFonts w:hint="eastAsia" w:ascii="仿宋_GB2312" w:eastAsia="仿宋_GB2312" w:cs="DengXian-Regular"/>
          <w:sz w:val="32"/>
          <w:szCs w:val="32"/>
          <w:lang w:val="en-US" w:eastAsia="zh-CN"/>
        </w:rPr>
        <w:t>购买社会服务专项项目的开展，规范政府投资项目管理，节约政府投资资金，充分发挥政府投资项目的社会效益和经济效益。从立项至今，为政府节约大量财政资金，促进了科学决策和廉政建设。金审工程网络建设项目的开展，办公设备的提升以及网络运行的维护，为审计工作的正常开展提供了强大的保障。</w:t>
      </w:r>
    </w:p>
    <w:p>
      <w:pPr>
        <w:numPr>
          <w:ilvl w:val="0"/>
          <w:numId w:val="2"/>
        </w:numPr>
        <w:spacing w:line="584" w:lineRule="exact"/>
        <w:ind w:firstLine="643" w:firstLineChars="200"/>
        <w:rPr>
          <w:rFonts w:hint="eastAsia" w:ascii="仿宋_GB2312" w:eastAsia="仿宋_GB2312" w:cs="DengXian-Regular"/>
          <w:sz w:val="32"/>
          <w:szCs w:val="32"/>
        </w:rPr>
      </w:pPr>
      <w:r>
        <w:rPr>
          <w:rFonts w:hint="eastAsia" w:ascii="Times New Roman" w:hAnsi="Times New Roman" w:eastAsia="楷体_GB2312" w:cs="Times New Roman"/>
          <w:b/>
          <w:bCs/>
          <w:color w:val="000000"/>
          <w:sz w:val="32"/>
          <w:szCs w:val="32"/>
        </w:rPr>
        <w:t>项目绩效自评结果</w:t>
      </w:r>
      <w:r>
        <w:rPr>
          <w:rFonts w:hint="eastAsia" w:ascii="仿宋_GB2312" w:eastAsia="仿宋_GB2312" w:cs="DengXian-Regular"/>
          <w:sz w:val="32"/>
          <w:szCs w:val="32"/>
        </w:rPr>
        <w:t>。</w:t>
      </w:r>
    </w:p>
    <w:p>
      <w:pPr>
        <w:numPr>
          <w:numId w:val="0"/>
        </w:numPr>
        <w:spacing w:line="584" w:lineRule="exact"/>
        <w:ind w:firstLine="640" w:firstLineChars="200"/>
        <w:rPr>
          <w:rFonts w:ascii="Times New Roman" w:hAnsi="Times New Roman" w:eastAsia="仿宋_GB2312" w:cs="Times New Roman"/>
          <w:color w:val="000000"/>
          <w:sz w:val="32"/>
          <w:szCs w:val="32"/>
        </w:rPr>
      </w:pPr>
      <w:bookmarkStart w:id="0" w:name="_GoBack"/>
      <w:bookmarkEnd w:id="0"/>
      <w:r>
        <w:rPr>
          <w:rFonts w:ascii="Times New Roman" w:hAnsi="Times New Roman" w:eastAsia="仿宋_GB2312" w:cs="Times New Roman"/>
          <w:color w:val="000000"/>
          <w:sz w:val="32"/>
          <w:szCs w:val="32"/>
        </w:rPr>
        <w:t>本部门201</w:t>
      </w:r>
      <w:r>
        <w:rPr>
          <w:rFonts w:hint="eastAsia" w:eastAsia="仿宋_GB2312" w:cs="Times New Roman"/>
          <w:color w:val="000000"/>
          <w:sz w:val="32"/>
          <w:szCs w:val="32"/>
          <w:lang w:val="en-US" w:eastAsia="zh-CN"/>
        </w:rPr>
        <w:t>8</w:t>
      </w:r>
      <w:r>
        <w:rPr>
          <w:rFonts w:ascii="Times New Roman" w:hAnsi="Times New Roman" w:eastAsia="仿宋_GB2312" w:cs="Times New Roman"/>
          <w:color w:val="000000"/>
          <w:sz w:val="32"/>
          <w:szCs w:val="32"/>
        </w:rPr>
        <w:t xml:space="preserve"> 年度对</w:t>
      </w:r>
      <w:r>
        <w:rPr>
          <w:rFonts w:hint="eastAsia" w:eastAsia="仿宋_GB2312" w:cs="Times New Roman"/>
          <w:color w:val="000000"/>
          <w:sz w:val="32"/>
          <w:szCs w:val="32"/>
          <w:lang w:val="en-US" w:eastAsia="zh-CN"/>
        </w:rPr>
        <w:t>2</w:t>
      </w:r>
      <w:r>
        <w:rPr>
          <w:rFonts w:ascii="Times New Roman" w:hAnsi="Times New Roman" w:eastAsia="仿宋_GB2312" w:cs="Times New Roman"/>
          <w:color w:val="000000"/>
          <w:sz w:val="32"/>
          <w:szCs w:val="32"/>
        </w:rPr>
        <w:t>个项目进行了绩效自评，项目自评结果90 分以上的</w:t>
      </w:r>
      <w:r>
        <w:rPr>
          <w:rFonts w:hint="eastAsia" w:eastAsia="仿宋_GB2312" w:cs="Times New Roman"/>
          <w:color w:val="000000"/>
          <w:sz w:val="32"/>
          <w:szCs w:val="32"/>
          <w:lang w:val="en-US" w:eastAsia="zh-CN"/>
        </w:rPr>
        <w:t>2</w:t>
      </w:r>
      <w:r>
        <w:rPr>
          <w:rFonts w:ascii="Times New Roman" w:hAnsi="Times New Roman" w:eastAsia="仿宋_GB2312" w:cs="Times New Roman"/>
          <w:color w:val="000000"/>
          <w:sz w:val="32"/>
          <w:szCs w:val="32"/>
        </w:rPr>
        <w:t xml:space="preserve"> 项，80 -90分的</w:t>
      </w:r>
      <w:r>
        <w:rPr>
          <w:rFonts w:hint="eastAsia" w:eastAsia="仿宋_GB2312" w:cs="Times New Roman"/>
          <w:color w:val="000000"/>
          <w:sz w:val="32"/>
          <w:szCs w:val="32"/>
          <w:lang w:val="en-US" w:eastAsia="zh-CN"/>
        </w:rPr>
        <w:t>0</w:t>
      </w:r>
      <w:r>
        <w:rPr>
          <w:rFonts w:ascii="Times New Roman" w:hAnsi="Times New Roman" w:eastAsia="仿宋_GB2312" w:cs="Times New Roman"/>
          <w:color w:val="000000"/>
          <w:sz w:val="32"/>
          <w:szCs w:val="32"/>
        </w:rPr>
        <w:t>项，80分以下的</w:t>
      </w:r>
      <w:r>
        <w:rPr>
          <w:rFonts w:hint="eastAsia" w:eastAsia="仿宋_GB2312" w:cs="Times New Roman"/>
          <w:color w:val="000000"/>
          <w:sz w:val="32"/>
          <w:szCs w:val="32"/>
          <w:lang w:val="en-US" w:eastAsia="zh-CN"/>
        </w:rPr>
        <w:t>0</w:t>
      </w:r>
      <w:r>
        <w:rPr>
          <w:rFonts w:ascii="Times New Roman" w:hAnsi="Times New Roman" w:eastAsia="仿宋_GB2312" w:cs="Times New Roman"/>
          <w:color w:val="000000"/>
          <w:sz w:val="32"/>
          <w:szCs w:val="32"/>
        </w:rPr>
        <w:t>项。在部门决算公开中反映</w:t>
      </w:r>
      <w:r>
        <w:rPr>
          <w:rFonts w:hint="eastAsia" w:eastAsia="仿宋_GB2312" w:cs="Times New Roman"/>
          <w:color w:val="000000"/>
          <w:sz w:val="32"/>
          <w:szCs w:val="32"/>
          <w:lang w:val="en-US" w:eastAsia="zh-CN"/>
        </w:rPr>
        <w:t>购买社会服务费</w:t>
      </w:r>
      <w:r>
        <w:rPr>
          <w:rFonts w:ascii="Times New Roman" w:hAnsi="Times New Roman" w:eastAsia="仿宋_GB2312" w:cs="Times New Roman"/>
          <w:color w:val="000000"/>
          <w:sz w:val="32"/>
          <w:szCs w:val="32"/>
        </w:rPr>
        <w:t>项目及</w:t>
      </w:r>
      <w:r>
        <w:rPr>
          <w:rFonts w:hint="eastAsia" w:eastAsia="仿宋_GB2312" w:cs="Times New Roman"/>
          <w:color w:val="000000"/>
          <w:sz w:val="32"/>
          <w:szCs w:val="32"/>
          <w:lang w:val="en-US" w:eastAsia="zh-CN"/>
        </w:rPr>
        <w:t>金审工程网络建设</w:t>
      </w:r>
      <w:r>
        <w:rPr>
          <w:rFonts w:ascii="Times New Roman" w:hAnsi="Times New Roman" w:eastAsia="仿宋_GB2312" w:cs="Times New Roman"/>
          <w:color w:val="000000"/>
          <w:sz w:val="32"/>
          <w:szCs w:val="32"/>
        </w:rPr>
        <w:t>项目等</w:t>
      </w:r>
      <w:r>
        <w:rPr>
          <w:rFonts w:hint="eastAsia" w:eastAsia="仿宋_GB2312" w:cs="Times New Roman"/>
          <w:color w:val="000000"/>
          <w:sz w:val="32"/>
          <w:szCs w:val="32"/>
          <w:lang w:val="en-US" w:eastAsia="zh-CN"/>
        </w:rPr>
        <w:t>2</w:t>
      </w:r>
      <w:r>
        <w:rPr>
          <w:rFonts w:ascii="Times New Roman" w:hAnsi="Times New Roman" w:eastAsia="仿宋_GB2312" w:cs="Times New Roman"/>
          <w:color w:val="000000"/>
          <w:sz w:val="32"/>
          <w:szCs w:val="32"/>
        </w:rPr>
        <w:t>个项目绩效自评结果。</w:t>
      </w:r>
    </w:p>
    <w:p>
      <w:pPr>
        <w:widowControl/>
        <w:numPr>
          <w:ilvl w:val="0"/>
          <w:numId w:val="3"/>
        </w:numPr>
        <w:tabs>
          <w:tab w:val="left" w:pos="0"/>
        </w:tabs>
        <w:adjustRightInd w:val="0"/>
        <w:snapToGrid w:val="0"/>
        <w:spacing w:line="580" w:lineRule="exact"/>
        <w:ind w:left="-430" w:leftChars="0" w:firstLine="640" w:firstLineChars="0"/>
        <w:jc w:val="left"/>
        <w:rPr>
          <w:rFonts w:ascii="Times New Roman" w:hAnsi="Times New Roman" w:eastAsia="仿宋_GB2312" w:cs="Times New Roman"/>
          <w:color w:val="000000"/>
          <w:sz w:val="32"/>
          <w:szCs w:val="32"/>
        </w:rPr>
      </w:pPr>
      <w:r>
        <w:rPr>
          <w:rFonts w:hint="eastAsia" w:eastAsia="仿宋_GB2312" w:cs="Times New Roman"/>
          <w:color w:val="000000"/>
          <w:sz w:val="32"/>
          <w:szCs w:val="32"/>
          <w:lang w:val="en-US" w:eastAsia="zh-CN"/>
        </w:rPr>
        <w:t>购买社会服务</w:t>
      </w:r>
      <w:r>
        <w:rPr>
          <w:rFonts w:ascii="Times New Roman" w:hAnsi="Times New Roman" w:eastAsia="仿宋_GB2312" w:cs="Times New Roman"/>
          <w:color w:val="000000"/>
          <w:sz w:val="32"/>
          <w:szCs w:val="32"/>
        </w:rPr>
        <w:t>项目绩效自评综述</w:t>
      </w:r>
      <w:r>
        <w:rPr>
          <w:rFonts w:hint="eastAsia" w:eastAsia="仿宋_GB2312" w:cs="Times New Roman"/>
          <w:color w:val="000000"/>
          <w:sz w:val="32"/>
          <w:szCs w:val="32"/>
          <w:lang w:eastAsia="zh-CN"/>
        </w:rPr>
        <w:t>：</w:t>
      </w:r>
    </w:p>
    <w:p>
      <w:pPr>
        <w:spacing w:line="580" w:lineRule="exact"/>
        <w:ind w:firstLine="640" w:firstLineChars="200"/>
        <w:rPr>
          <w:rFonts w:hint="eastAsia" w:eastAsia="仿宋"/>
          <w:sz w:val="32"/>
          <w:szCs w:val="32"/>
          <w:lang w:val="en-US" w:eastAsia="zh-CN"/>
        </w:rPr>
      </w:pPr>
      <w:r>
        <w:rPr>
          <w:rFonts w:hint="eastAsia" w:eastAsia="仿宋"/>
          <w:sz w:val="32"/>
          <w:szCs w:val="32"/>
          <w:lang w:val="en-US" w:eastAsia="zh-CN"/>
        </w:rPr>
        <w:t>2018年我局购买社会服务费预算金额220万元，支出220万元，预算执行率100%；</w:t>
      </w:r>
    </w:p>
    <w:p>
      <w:pPr>
        <w:widowControl/>
        <w:numPr>
          <w:ilvl w:val="0"/>
          <w:numId w:val="3"/>
        </w:numPr>
        <w:tabs>
          <w:tab w:val="left" w:pos="0"/>
        </w:tabs>
        <w:adjustRightInd w:val="0"/>
        <w:snapToGrid w:val="0"/>
        <w:spacing w:line="580" w:lineRule="exact"/>
        <w:ind w:left="-430" w:leftChars="0" w:firstLine="640" w:firstLineChars="0"/>
        <w:jc w:val="left"/>
        <w:rPr>
          <w:rFonts w:ascii="Times New Roman" w:hAnsi="Times New Roman" w:eastAsia="仿宋_GB2312" w:cs="Times New Roman"/>
          <w:color w:val="000000"/>
          <w:sz w:val="32"/>
          <w:szCs w:val="32"/>
        </w:rPr>
      </w:pPr>
      <w:r>
        <w:rPr>
          <w:rFonts w:hint="eastAsia" w:eastAsia="仿宋_GB2312" w:cs="Times New Roman"/>
          <w:color w:val="000000"/>
          <w:sz w:val="32"/>
          <w:szCs w:val="32"/>
          <w:lang w:val="en-US" w:eastAsia="zh-CN"/>
        </w:rPr>
        <w:t>金审工程网络建设</w:t>
      </w:r>
      <w:r>
        <w:rPr>
          <w:rFonts w:ascii="Times New Roman" w:hAnsi="Times New Roman" w:eastAsia="仿宋_GB2312" w:cs="Times New Roman"/>
          <w:color w:val="000000"/>
          <w:sz w:val="32"/>
          <w:szCs w:val="32"/>
        </w:rPr>
        <w:t>项目绩效自评综述</w:t>
      </w:r>
      <w:r>
        <w:rPr>
          <w:rFonts w:hint="eastAsia" w:eastAsia="仿宋_GB2312" w:cs="Times New Roman"/>
          <w:color w:val="000000"/>
          <w:sz w:val="32"/>
          <w:szCs w:val="32"/>
          <w:lang w:eastAsia="zh-CN"/>
        </w:rPr>
        <w:t>：</w:t>
      </w:r>
    </w:p>
    <w:p>
      <w:pPr>
        <w:spacing w:line="580" w:lineRule="exact"/>
        <w:ind w:firstLine="640" w:firstLineChars="200"/>
        <w:rPr>
          <w:rFonts w:hint="eastAsia" w:eastAsia="仿宋"/>
          <w:sz w:val="32"/>
          <w:szCs w:val="32"/>
          <w:lang w:val="en-US" w:eastAsia="zh-CN"/>
        </w:rPr>
      </w:pPr>
      <w:r>
        <w:rPr>
          <w:rFonts w:hint="eastAsia" w:eastAsia="仿宋"/>
          <w:sz w:val="32"/>
          <w:szCs w:val="32"/>
          <w:lang w:val="en-US" w:eastAsia="zh-CN"/>
        </w:rPr>
        <w:t>2018年我局金审工程网络建设费预算金额3.5万元，支出3.5万元，执行率100%。</w:t>
      </w:r>
    </w:p>
    <w:p>
      <w:pPr>
        <w:numPr>
          <w:ilvl w:val="0"/>
          <w:numId w:val="2"/>
        </w:numPr>
        <w:spacing w:line="584" w:lineRule="exact"/>
        <w:ind w:left="0" w:leftChars="0" w:firstLine="643" w:firstLineChars="200"/>
        <w:rPr>
          <w:rFonts w:hint="eastAsia" w:ascii="Times New Roman" w:hAnsi="Times New Roman" w:eastAsia="楷体_GB2312" w:cs="Times New Roman"/>
          <w:b/>
          <w:bCs/>
          <w:color w:val="000000"/>
          <w:sz w:val="32"/>
          <w:szCs w:val="32"/>
        </w:rPr>
      </w:pPr>
      <w:r>
        <w:rPr>
          <w:rFonts w:hint="eastAsia" w:ascii="Times New Roman" w:hAnsi="Times New Roman" w:eastAsia="楷体_GB2312" w:cs="Times New Roman"/>
          <w:b/>
          <w:bCs/>
          <w:color w:val="000000"/>
          <w:sz w:val="32"/>
          <w:szCs w:val="32"/>
        </w:rPr>
        <w:t>重点项目绩效评价结果。</w:t>
      </w:r>
    </w:p>
    <w:p>
      <w:pPr>
        <w:numPr>
          <w:numId w:val="0"/>
        </w:numPr>
        <w:spacing w:line="584" w:lineRule="exact"/>
        <w:ind w:leftChars="200" w:firstLine="640" w:firstLineChars="200"/>
        <w:rPr>
          <w:rFonts w:ascii="Times New Roman" w:hAnsi="Times New Roman" w:eastAsia="仿宋_GB2312" w:cs="Times New Roman"/>
          <w:b/>
          <w:bCs/>
          <w:color w:val="000000"/>
          <w:sz w:val="32"/>
          <w:szCs w:val="32"/>
        </w:rPr>
      </w:pPr>
      <w:r>
        <w:rPr>
          <w:rFonts w:ascii="Times New Roman" w:hAnsi="Times New Roman" w:eastAsia="仿宋_GB2312" w:cs="Times New Roman"/>
          <w:color w:val="000000"/>
          <w:sz w:val="32"/>
          <w:szCs w:val="32"/>
        </w:rPr>
        <w:t>根据年初设定的绩效目标，</w:t>
      </w:r>
      <w:r>
        <w:rPr>
          <w:rFonts w:hint="eastAsia" w:eastAsia="仿宋_GB2312" w:cs="Times New Roman"/>
          <w:color w:val="000000"/>
          <w:sz w:val="32"/>
          <w:szCs w:val="32"/>
          <w:lang w:val="en-US" w:eastAsia="zh-CN"/>
        </w:rPr>
        <w:t>购买社会服务费</w:t>
      </w:r>
      <w:r>
        <w:rPr>
          <w:rFonts w:ascii="Times New Roman" w:hAnsi="Times New Roman" w:eastAsia="仿宋_GB2312" w:cs="Times New Roman"/>
          <w:color w:val="000000"/>
          <w:sz w:val="32"/>
          <w:szCs w:val="32"/>
        </w:rPr>
        <w:t>项目绩效自评得分为</w:t>
      </w:r>
      <w:r>
        <w:rPr>
          <w:rFonts w:hint="eastAsia" w:eastAsia="仿宋_GB2312" w:cs="Times New Roman"/>
          <w:color w:val="000000"/>
          <w:sz w:val="32"/>
          <w:szCs w:val="32"/>
          <w:lang w:val="en-US" w:eastAsia="zh-CN"/>
        </w:rPr>
        <w:t>100</w:t>
      </w:r>
      <w:r>
        <w:rPr>
          <w:rFonts w:ascii="Times New Roman" w:hAnsi="Times New Roman" w:eastAsia="仿宋_GB2312" w:cs="Times New Roman"/>
          <w:color w:val="000000"/>
          <w:sz w:val="32"/>
          <w:szCs w:val="32"/>
        </w:rPr>
        <w:t>分。全年预算数为</w:t>
      </w:r>
      <w:r>
        <w:rPr>
          <w:rFonts w:hint="eastAsia" w:eastAsia="仿宋_GB2312" w:cs="Times New Roman"/>
          <w:color w:val="000000"/>
          <w:sz w:val="32"/>
          <w:szCs w:val="32"/>
          <w:lang w:val="en-US" w:eastAsia="zh-CN"/>
        </w:rPr>
        <w:t>220</w:t>
      </w:r>
      <w:r>
        <w:rPr>
          <w:rFonts w:ascii="Times New Roman" w:hAnsi="Times New Roman" w:eastAsia="仿宋_GB2312" w:cs="Times New Roman"/>
          <w:color w:val="000000"/>
          <w:sz w:val="32"/>
          <w:szCs w:val="32"/>
        </w:rPr>
        <w:t>万元，执行数为</w:t>
      </w:r>
      <w:r>
        <w:rPr>
          <w:rFonts w:hint="eastAsia" w:eastAsia="仿宋_GB2312" w:cs="Times New Roman"/>
          <w:color w:val="000000"/>
          <w:sz w:val="32"/>
          <w:szCs w:val="32"/>
          <w:lang w:val="en-US" w:eastAsia="zh-CN"/>
        </w:rPr>
        <w:t>220</w:t>
      </w:r>
      <w:r>
        <w:rPr>
          <w:rFonts w:ascii="Times New Roman" w:hAnsi="Times New Roman" w:eastAsia="仿宋_GB2312" w:cs="Times New Roman"/>
          <w:color w:val="000000"/>
          <w:sz w:val="32"/>
          <w:szCs w:val="32"/>
        </w:rPr>
        <w:t>万元，完成预算的</w:t>
      </w:r>
      <w:r>
        <w:rPr>
          <w:rFonts w:hint="eastAsia" w:eastAsia="仿宋_GB2312" w:cs="Times New Roman"/>
          <w:color w:val="000000"/>
          <w:sz w:val="32"/>
          <w:szCs w:val="32"/>
          <w:lang w:val="en-US" w:eastAsia="zh-CN"/>
        </w:rPr>
        <w:t>100%</w:t>
      </w:r>
      <w:r>
        <w:rPr>
          <w:rFonts w:ascii="Times New Roman" w:hAnsi="Times New Roman" w:eastAsia="仿宋_GB2312" w:cs="Times New Roman"/>
          <w:color w:val="000000"/>
          <w:sz w:val="32"/>
          <w:szCs w:val="32"/>
        </w:rPr>
        <w:t>。</w:t>
      </w:r>
      <w:r>
        <w:rPr>
          <w:rFonts w:hint="eastAsia" w:eastAsia="仿宋_GB2312" w:cs="Times New Roman"/>
          <w:color w:val="000000"/>
          <w:sz w:val="32"/>
          <w:szCs w:val="32"/>
          <w:lang w:val="en-US" w:eastAsia="zh-CN"/>
        </w:rPr>
        <w:t>评价结果为优秀。</w:t>
      </w:r>
      <w:r>
        <w:rPr>
          <w:rFonts w:ascii="Times New Roman" w:hAnsi="Times New Roman" w:eastAsia="仿宋_GB2312" w:cs="Times New Roman"/>
          <w:color w:val="000000"/>
          <w:sz w:val="32"/>
          <w:szCs w:val="32"/>
        </w:rPr>
        <w:t>项目绩效目标完成情况：一是</w:t>
      </w:r>
      <w:r>
        <w:rPr>
          <w:rFonts w:hint="eastAsia" w:ascii="Times New Roman" w:hAnsi="Times New Roman" w:eastAsia="仿宋_GB2312" w:cs="Times New Roman"/>
          <w:color w:val="000000"/>
          <w:sz w:val="32"/>
          <w:szCs w:val="32"/>
          <w:lang w:val="en-US" w:eastAsia="zh-CN"/>
        </w:rPr>
        <w:t>规范投资项目管理</w:t>
      </w:r>
      <w:r>
        <w:rPr>
          <w:rFonts w:ascii="Times New Roman" w:hAnsi="Times New Roman" w:eastAsia="仿宋_GB2312" w:cs="Times New Roman"/>
          <w:color w:val="000000"/>
          <w:sz w:val="32"/>
          <w:szCs w:val="32"/>
        </w:rPr>
        <w:t>；二是</w:t>
      </w:r>
      <w:r>
        <w:rPr>
          <w:rFonts w:hint="eastAsia" w:ascii="Times New Roman" w:hAnsi="Times New Roman" w:eastAsia="仿宋_GB2312" w:cs="Times New Roman"/>
          <w:color w:val="000000"/>
          <w:sz w:val="32"/>
          <w:szCs w:val="32"/>
          <w:lang w:val="en-US" w:eastAsia="zh-CN"/>
        </w:rPr>
        <w:t>节约政府投资资金</w:t>
      </w:r>
      <w:r>
        <w:rPr>
          <w:rFonts w:ascii="Times New Roman" w:hAnsi="Times New Roman" w:eastAsia="仿宋_GB2312" w:cs="Times New Roman"/>
          <w:color w:val="000000"/>
          <w:sz w:val="32"/>
          <w:szCs w:val="32"/>
        </w:rPr>
        <w:t>。发现的主要问题及原因：一是</w:t>
      </w:r>
      <w:r>
        <w:rPr>
          <w:rFonts w:hint="eastAsia" w:eastAsia="仿宋_GB2312" w:cs="Times New Roman"/>
          <w:color w:val="000000"/>
          <w:sz w:val="32"/>
          <w:szCs w:val="32"/>
          <w:lang w:val="en-US" w:eastAsia="zh-CN"/>
        </w:rPr>
        <w:t>绩效目标不够细化</w:t>
      </w:r>
      <w:r>
        <w:rPr>
          <w:rFonts w:ascii="Times New Roman" w:hAnsi="Times New Roman" w:eastAsia="仿宋_GB2312" w:cs="Times New Roman"/>
          <w:color w:val="000000"/>
          <w:sz w:val="32"/>
          <w:szCs w:val="32"/>
        </w:rPr>
        <w:t>；二是</w:t>
      </w:r>
      <w:r>
        <w:rPr>
          <w:rFonts w:hint="eastAsia" w:eastAsia="仿宋_GB2312" w:cs="Times New Roman"/>
          <w:color w:val="000000"/>
          <w:sz w:val="32"/>
          <w:szCs w:val="32"/>
          <w:lang w:val="en-US" w:eastAsia="zh-CN"/>
        </w:rPr>
        <w:t>指标的设定不够严格</w:t>
      </w:r>
      <w:r>
        <w:rPr>
          <w:rFonts w:ascii="Times New Roman" w:hAnsi="Times New Roman" w:eastAsia="仿宋_GB2312" w:cs="Times New Roman"/>
          <w:color w:val="000000"/>
          <w:sz w:val="32"/>
          <w:szCs w:val="32"/>
        </w:rPr>
        <w:t>。下一步改进措施：一是</w:t>
      </w:r>
      <w:r>
        <w:rPr>
          <w:rFonts w:hint="eastAsia" w:ascii="Times New Roman" w:hAnsi="Times New Roman" w:eastAsia="仿宋_GB2312" w:cs="Times New Roman"/>
          <w:color w:val="000000"/>
          <w:sz w:val="32"/>
          <w:szCs w:val="32"/>
          <w:lang w:val="en-US" w:eastAsia="zh-CN"/>
        </w:rPr>
        <w:t>改进管理措施，完善管理办法</w:t>
      </w:r>
      <w:r>
        <w:rPr>
          <w:rFonts w:ascii="Times New Roman" w:hAnsi="Times New Roman" w:eastAsia="仿宋_GB2312" w:cs="Times New Roman"/>
          <w:color w:val="000000"/>
          <w:sz w:val="32"/>
          <w:szCs w:val="32"/>
        </w:rPr>
        <w:t>；二是</w:t>
      </w:r>
      <w:r>
        <w:rPr>
          <w:rFonts w:hint="eastAsia" w:ascii="Times New Roman" w:hAnsi="Times New Roman" w:eastAsia="仿宋_GB2312" w:cs="Times New Roman"/>
          <w:color w:val="000000"/>
          <w:sz w:val="32"/>
          <w:szCs w:val="32"/>
          <w:lang w:val="en-US" w:eastAsia="zh-CN"/>
        </w:rPr>
        <w:t>调整和优化下一年度本部门预算支出结构，合理配置资源，对绩效评价中发现的问题应及时制定整改措施。</w:t>
      </w:r>
    </w:p>
    <w:p>
      <w:pPr>
        <w:pStyle w:val="3"/>
        <w:spacing w:before="0" w:after="0" w:line="580" w:lineRule="exact"/>
        <w:ind w:firstLine="640" w:firstLineChars="200"/>
        <w:rPr>
          <w:rFonts w:ascii="黑体" w:eastAsia="黑体" w:cs="Times New Roman"/>
          <w:b w:val="0"/>
          <w:bCs w:val="0"/>
        </w:rPr>
      </w:pPr>
      <w:r>
        <w:rPr>
          <w:rFonts w:hint="eastAsia" w:ascii="黑体" w:eastAsia="黑体" w:cs="Times New Roman"/>
          <w:b w:val="0"/>
          <w:bCs w:val="0"/>
        </w:rPr>
        <w:t>七、其他重要事项的说明</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（一）机关运行经费情况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本部门2018年度机关运行经费支出</w:t>
      </w:r>
      <w:r>
        <w:rPr>
          <w:rFonts w:hint="eastAsia" w:ascii="仿宋_GB2312" w:eastAsia="仿宋_GB2312" w:cs="DengXian-Regular"/>
          <w:sz w:val="32"/>
          <w:szCs w:val="32"/>
          <w:lang w:val="en-US" w:eastAsia="zh-CN"/>
        </w:rPr>
        <w:t>69.69</w:t>
      </w:r>
      <w:r>
        <w:rPr>
          <w:rFonts w:hint="eastAsia" w:ascii="仿宋_GB2312" w:eastAsia="仿宋_GB2312" w:cs="DengXian-Regular"/>
          <w:sz w:val="32"/>
          <w:szCs w:val="32"/>
        </w:rPr>
        <w:t>万元，比年初预算数减少</w:t>
      </w:r>
      <w:r>
        <w:rPr>
          <w:rFonts w:eastAsia="仿宋_GB2312"/>
          <w:sz w:val="32"/>
          <w:szCs w:val="32"/>
        </w:rPr>
        <w:t xml:space="preserve"> </w:t>
      </w:r>
      <w:r>
        <w:rPr>
          <w:rFonts w:hint="eastAsia" w:eastAsia="仿宋_GB2312"/>
          <w:sz w:val="32"/>
          <w:szCs w:val="32"/>
          <w:lang w:val="en-US" w:eastAsia="zh-CN"/>
        </w:rPr>
        <w:t>24.42</w:t>
      </w:r>
      <w:r>
        <w:rPr>
          <w:rFonts w:hint="eastAsia" w:ascii="仿宋_GB2312" w:eastAsia="仿宋_GB2312" w:cs="DengXian-Regular"/>
          <w:sz w:val="32"/>
          <w:szCs w:val="32"/>
        </w:rPr>
        <w:t>万元，降低</w:t>
      </w:r>
      <w:r>
        <w:rPr>
          <w:rFonts w:hint="eastAsia" w:ascii="仿宋_GB2312" w:eastAsia="仿宋_GB2312" w:cs="DengXian-Regular"/>
          <w:sz w:val="32"/>
          <w:szCs w:val="32"/>
          <w:lang w:val="en-US" w:eastAsia="zh-CN"/>
        </w:rPr>
        <w:t>25.95</w:t>
      </w:r>
      <w:r>
        <w:rPr>
          <w:rFonts w:hint="eastAsia" w:ascii="仿宋_GB2312" w:eastAsia="仿宋_GB2312" w:cs="DengXian-Regular"/>
          <w:sz w:val="32"/>
          <w:szCs w:val="32"/>
        </w:rPr>
        <w:t xml:space="preserve"> </w:t>
      </w:r>
      <w:r>
        <w:rPr>
          <w:rFonts w:eastAsia="仿宋_GB2312"/>
          <w:sz w:val="32"/>
          <w:szCs w:val="32"/>
        </w:rPr>
        <w:t>%</w:t>
      </w:r>
      <w:r>
        <w:rPr>
          <w:rFonts w:hint="eastAsia" w:ascii="仿宋_GB2312" w:eastAsia="仿宋_GB2312" w:cs="DengXian-Regular"/>
          <w:sz w:val="32"/>
          <w:szCs w:val="32"/>
        </w:rPr>
        <w:t>。主要是</w:t>
      </w:r>
      <w:r>
        <w:rPr>
          <w:rFonts w:hint="eastAsia" w:ascii="仿宋_GB2312" w:eastAsia="仿宋_GB2312" w:cs="DengXian-Regular"/>
          <w:sz w:val="32"/>
          <w:szCs w:val="32"/>
          <w:lang w:val="en-US" w:eastAsia="zh-CN"/>
        </w:rPr>
        <w:t>控制经费支出，厉行节约</w:t>
      </w:r>
      <w:r>
        <w:rPr>
          <w:rFonts w:hint="eastAsia" w:ascii="仿宋_GB2312" w:eastAsia="仿宋_GB2312" w:cs="DengXian-Regular"/>
          <w:sz w:val="32"/>
          <w:szCs w:val="32"/>
        </w:rPr>
        <w:t>。</w:t>
      </w:r>
      <w:r>
        <w:rPr>
          <w:rFonts w:eastAsia="仿宋_GB2312"/>
          <w:sz w:val="32"/>
          <w:szCs w:val="32"/>
        </w:rPr>
        <w:t>较201</w:t>
      </w:r>
      <w:r>
        <w:rPr>
          <w:rFonts w:hint="eastAsia" w:eastAsia="仿宋_GB2312"/>
          <w:sz w:val="32"/>
          <w:szCs w:val="32"/>
        </w:rPr>
        <w:t>7</w:t>
      </w:r>
      <w:r>
        <w:rPr>
          <w:rFonts w:eastAsia="仿宋_GB2312"/>
          <w:sz w:val="32"/>
          <w:szCs w:val="32"/>
        </w:rPr>
        <w:t>年度决算减少</w:t>
      </w:r>
      <w:r>
        <w:rPr>
          <w:rFonts w:hint="eastAsia" w:eastAsia="仿宋_GB2312"/>
          <w:sz w:val="32"/>
          <w:szCs w:val="32"/>
          <w:lang w:val="en-US" w:eastAsia="zh-CN"/>
        </w:rPr>
        <w:t>3.19</w:t>
      </w:r>
      <w:r>
        <w:rPr>
          <w:rFonts w:eastAsia="仿宋_GB2312"/>
          <w:sz w:val="32"/>
          <w:szCs w:val="32"/>
        </w:rPr>
        <w:t>万元，降低</w:t>
      </w:r>
      <w:r>
        <w:rPr>
          <w:rFonts w:hint="eastAsia" w:eastAsia="仿宋_GB2312"/>
          <w:sz w:val="32"/>
          <w:szCs w:val="32"/>
          <w:lang w:val="en-US" w:eastAsia="zh-CN"/>
        </w:rPr>
        <w:t>4.38</w:t>
      </w:r>
      <w:r>
        <w:rPr>
          <w:rFonts w:eastAsia="仿宋_GB2312"/>
          <w:sz w:val="32"/>
          <w:szCs w:val="32"/>
        </w:rPr>
        <w:t>%，</w:t>
      </w:r>
      <w:r>
        <w:rPr>
          <w:rFonts w:hint="eastAsia" w:ascii="仿宋_GB2312" w:eastAsia="仿宋_GB2312" w:cs="DengXian-Regular"/>
          <w:sz w:val="32"/>
          <w:szCs w:val="32"/>
        </w:rPr>
        <w:t>主要是</w:t>
      </w:r>
      <w:r>
        <w:rPr>
          <w:rFonts w:hint="eastAsia" w:ascii="仿宋_GB2312" w:eastAsia="仿宋_GB2312" w:cs="DengXian-Regular"/>
          <w:sz w:val="32"/>
          <w:szCs w:val="32"/>
          <w:lang w:val="en-US" w:eastAsia="zh-CN"/>
        </w:rPr>
        <w:t>控制经费支出，厉行节约</w:t>
      </w:r>
      <w:r>
        <w:rPr>
          <w:rFonts w:hint="eastAsia" w:ascii="仿宋_GB2312" w:eastAsia="仿宋_GB2312" w:cs="DengXian-Regular"/>
          <w:sz w:val="32"/>
          <w:szCs w:val="32"/>
        </w:rPr>
        <w:t>。</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（二）政府采购情况</w:t>
      </w:r>
    </w:p>
    <w:p>
      <w:pPr>
        <w:widowControl/>
        <w:spacing w:after="0" w:line="580" w:lineRule="exact"/>
        <w:ind w:firstLine="640" w:firstLineChars="200"/>
        <w:jc w:val="left"/>
        <w:rPr>
          <w:rFonts w:ascii="仿宋_GB2312" w:eastAsia="仿宋_GB2312" w:cs="DengXian-Regular"/>
          <w:sz w:val="32"/>
          <w:szCs w:val="32"/>
        </w:rPr>
      </w:pPr>
      <w:r>
        <w:rPr>
          <w:rFonts w:hint="eastAsia" w:ascii="仿宋_GB2312" w:eastAsia="仿宋_GB2312" w:cs="DengXian-Regular"/>
          <w:sz w:val="32"/>
          <w:szCs w:val="32"/>
        </w:rPr>
        <w:t>本部门2018年度政府采购支出总额0万元，从采购类型来看，</w:t>
      </w:r>
      <w:r>
        <w:rPr>
          <w:rFonts w:ascii="仿宋_GB2312" w:hAnsi="仿宋_GB2312" w:eastAsia="仿宋_GB2312" w:cs="仿宋_GB2312"/>
          <w:color w:val="000000"/>
          <w:kern w:val="0"/>
          <w:sz w:val="32"/>
          <w:szCs w:val="32"/>
        </w:rPr>
        <w:t>政府采购货物支出</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 xml:space="preserve"> 万元、政府采购工程支出</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万元、政府采购服务支出</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万元。授予中小企业合同金</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万元，占政府采购支出总额的</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其中授予小微企业合同金额</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万元，占政府采购支出总额的</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（三）国有资产占用情况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截至2018年12月31日，本部门共有车辆</w:t>
      </w:r>
      <w:r>
        <w:rPr>
          <w:rFonts w:hint="eastAsia" w:ascii="仿宋_GB2312" w:eastAsia="仿宋_GB2312" w:cs="DengXian-Regular"/>
          <w:sz w:val="32"/>
          <w:szCs w:val="32"/>
          <w:lang w:val="en-US" w:eastAsia="zh-CN"/>
        </w:rPr>
        <w:t>2</w:t>
      </w:r>
      <w:r>
        <w:rPr>
          <w:rFonts w:hint="eastAsia" w:ascii="仿宋_GB2312" w:eastAsia="仿宋_GB2312" w:cs="DengXian-Regular"/>
          <w:sz w:val="32"/>
          <w:szCs w:val="32"/>
        </w:rPr>
        <w:t>辆，较上年无增减变化。其中，副部（省）级及以上领导用车0辆，主要领导干部用车0辆，机要通信用车</w:t>
      </w:r>
      <w:r>
        <w:rPr>
          <w:rFonts w:hint="eastAsia" w:ascii="仿宋_GB2312" w:eastAsia="仿宋_GB2312" w:cs="DengXian-Regular"/>
          <w:sz w:val="32"/>
          <w:szCs w:val="32"/>
          <w:lang w:val="en-US" w:eastAsia="zh-CN"/>
        </w:rPr>
        <w:t>2</w:t>
      </w:r>
      <w:r>
        <w:rPr>
          <w:rFonts w:hint="eastAsia" w:ascii="仿宋_GB2312" w:eastAsia="仿宋_GB2312" w:cs="DengXian-Regular"/>
          <w:sz w:val="32"/>
          <w:szCs w:val="32"/>
        </w:rPr>
        <w:t>辆，应急保障用车0辆，执法执勤用车0辆，特种专业技术用车0辆，离退休干部用车0辆，其他用车0辆；单位价值</w:t>
      </w:r>
      <w:r>
        <w:rPr>
          <w:rFonts w:hint="eastAsia" w:ascii="仿宋_GB2312" w:hAnsi="TimesNewRomanPSMT" w:eastAsia="仿宋_GB2312" w:cs="TimesNewRomanPSMT"/>
          <w:sz w:val="32"/>
          <w:szCs w:val="32"/>
        </w:rPr>
        <w:t>50</w:t>
      </w:r>
      <w:r>
        <w:rPr>
          <w:rFonts w:hint="eastAsia" w:ascii="仿宋_GB2312" w:eastAsia="仿宋_GB2312" w:cs="DengXian-Regular"/>
          <w:sz w:val="32"/>
          <w:szCs w:val="32"/>
        </w:rPr>
        <w:t>万元以上通用设备0台（套），较上年无增减变化，单位价值</w:t>
      </w:r>
      <w:r>
        <w:rPr>
          <w:rFonts w:hint="eastAsia" w:ascii="仿宋_GB2312" w:hAnsi="TimesNewRomanPSMT" w:eastAsia="仿宋_GB2312" w:cs="TimesNewRomanPSMT"/>
          <w:sz w:val="32"/>
          <w:szCs w:val="32"/>
        </w:rPr>
        <w:t>100</w:t>
      </w:r>
      <w:r>
        <w:rPr>
          <w:rFonts w:hint="eastAsia" w:ascii="仿宋_GB2312" w:eastAsia="仿宋_GB2312" w:cs="DengXian-Regular"/>
          <w:sz w:val="32"/>
          <w:szCs w:val="32"/>
        </w:rPr>
        <w:t>万元以上专用设备0台（套），较上年无增减变化。</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（四）其他需要说明的情况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1、</w:t>
      </w:r>
      <w:r>
        <w:rPr>
          <w:rFonts w:hint="eastAsia" w:ascii="仿宋" w:hAnsi="仿宋" w:eastAsia="仿宋" w:cs="仿宋"/>
          <w:bCs/>
          <w:sz w:val="32"/>
          <w:szCs w:val="32"/>
        </w:rPr>
        <w:t>本部门2018年度政府性基金预算财政拨款、国有资本经营预算财政拨款和政府采购无收支及结转结余情况，故政府性基金预算财政拨款收入支出决算表、国有资本经营预算财政拨款支出决算表和政府采购情况表以空表列示</w:t>
      </w:r>
      <w:r>
        <w:rPr>
          <w:rFonts w:hint="eastAsia" w:ascii="仿宋_GB2312" w:eastAsia="仿宋_GB2312" w:cs="DengXian-Regular"/>
          <w:sz w:val="32"/>
          <w:szCs w:val="32"/>
        </w:rPr>
        <w:t>。</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2、由于决算公开表格中金额数值应当保留两位小数，公开数据为四舍五入计算结果，个别数据合计项与分项之和存在小数点后差额，特此说明。</w:t>
      </w:r>
    </w:p>
    <w:p>
      <w:pPr>
        <w:widowControl/>
        <w:spacing w:after="0" w:line="580" w:lineRule="exact"/>
        <w:ind w:firstLine="883" w:firstLineChars="200"/>
        <w:jc w:val="left"/>
        <w:rPr>
          <w:rFonts w:cs="MS-UIGothic,Bold" w:asciiTheme="majorEastAsia" w:hAnsiTheme="majorEastAsia" w:eastAsiaTheme="majorEastAsia"/>
          <w:b/>
          <w:bCs/>
          <w:kern w:val="0"/>
          <w:sz w:val="44"/>
          <w:szCs w:val="44"/>
        </w:rPr>
        <w:sectPr>
          <w:pgSz w:w="11906" w:h="16838"/>
          <w:pgMar w:top="2098" w:right="1474" w:bottom="1984" w:left="1588" w:header="851" w:footer="992" w:gutter="0"/>
          <w:cols w:space="0" w:num="1"/>
          <w:docGrid w:type="lines" w:linePitch="312" w:charSpace="0"/>
        </w:sectPr>
      </w:pPr>
    </w:p>
    <w:p>
      <w:pPr>
        <w:widowControl/>
        <w:spacing w:line="1200" w:lineRule="exact"/>
        <w:jc w:val="center"/>
        <w:rPr>
          <w:rFonts w:hAnsi="宋体" w:asciiTheme="minorEastAsia" w:eastAsiaTheme="minorEastAsia"/>
          <w:color w:val="000000" w:themeColor="text1"/>
          <w:sz w:val="96"/>
          <w:szCs w:val="96"/>
          <w14:textFill>
            <w14:solidFill>
              <w14:schemeClr w14:val="tx1"/>
            </w14:solidFill>
          </w14:textFill>
        </w:rPr>
      </w:pPr>
    </w:p>
    <w:p>
      <w:pPr>
        <w:widowControl/>
        <w:spacing w:line="1200" w:lineRule="exact"/>
        <w:jc w:val="center"/>
        <w:rPr>
          <w:rFonts w:hAnsi="宋体" w:asciiTheme="minorEastAsia" w:eastAsiaTheme="minorEastAsia"/>
          <w:color w:val="000000" w:themeColor="text1"/>
          <w:sz w:val="96"/>
          <w:szCs w:val="96"/>
          <w14:textFill>
            <w14:solidFill>
              <w14:schemeClr w14:val="tx1"/>
            </w14:solidFill>
          </w14:textFill>
        </w:rPr>
      </w:pPr>
    </w:p>
    <w:p>
      <w:pPr>
        <w:widowControl/>
        <w:spacing w:line="1200" w:lineRule="exact"/>
        <w:jc w:val="center"/>
        <w:rPr>
          <w:rFonts w:hAnsi="宋体" w:asciiTheme="minorEastAsia" w:eastAsiaTheme="minorEastAsia"/>
          <w:color w:val="000000" w:themeColor="text1"/>
          <w:sz w:val="96"/>
          <w:szCs w:val="96"/>
          <w14:textFill>
            <w14:solidFill>
              <w14:schemeClr w14:val="tx1"/>
            </w14:solidFill>
          </w14:textFill>
        </w:rPr>
      </w:pPr>
    </w:p>
    <w:p>
      <w:pPr>
        <w:widowControl/>
        <w:spacing w:line="1200" w:lineRule="exact"/>
        <w:jc w:val="center"/>
        <w:rPr>
          <w:rFonts w:hAnsi="宋体" w:asciiTheme="minorEastAsia" w:eastAsiaTheme="minorEastAsia"/>
          <w:color w:val="000000" w:themeColor="text1"/>
          <w:sz w:val="96"/>
          <w:szCs w:val="96"/>
          <w14:textFill>
            <w14:solidFill>
              <w14:schemeClr w14:val="tx1"/>
            </w14:solidFill>
          </w14:textFill>
        </w:rPr>
      </w:pPr>
      <w:r>
        <w:rPr>
          <w:rFonts w:hint="eastAsia" w:hAnsi="宋体" w:asciiTheme="minorEastAsia" w:eastAsiaTheme="minorEastAsia"/>
          <w:color w:val="000000" w:themeColor="text1"/>
          <w:sz w:val="96"/>
          <w:szCs w:val="96"/>
          <w14:textFill>
            <w14:solidFill>
              <w14:schemeClr w14:val="tx1"/>
            </w14:solidFill>
          </w14:textFill>
        </w:rPr>
        <w:t>第四部分</w:t>
      </w:r>
    </w:p>
    <w:p>
      <w:pPr>
        <w:widowControl/>
        <w:spacing w:line="1200" w:lineRule="exact"/>
        <w:jc w:val="center"/>
        <w:rPr>
          <w:color w:val="000000" w:themeColor="text1"/>
          <w:sz w:val="96"/>
          <w:szCs w:val="96"/>
          <w14:textFill>
            <w14:solidFill>
              <w14:schemeClr w14:val="tx1"/>
            </w14:solidFill>
          </w14:textFill>
        </w:rPr>
      </w:pPr>
      <w:r>
        <w:rPr>
          <w:rFonts w:hint="eastAsia" w:hAnsi="宋体" w:asciiTheme="minorEastAsia" w:eastAsiaTheme="minorEastAsia"/>
          <w:color w:val="000000" w:themeColor="text1"/>
          <w:sz w:val="96"/>
          <w:szCs w:val="96"/>
          <w14:textFill>
            <w14:solidFill>
              <w14:schemeClr w14:val="tx1"/>
            </w14:solidFill>
          </w14:textFill>
        </w:rPr>
        <w:t>名词解释</w:t>
      </w: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（一）财政拨款收入：</w:t>
      </w:r>
      <w:r>
        <w:rPr>
          <w:rFonts w:hint="eastAsia" w:ascii="仿宋_GB2312" w:eastAsia="仿宋_GB2312" w:hAnsiTheme="majorEastAsia"/>
          <w:color w:val="000000"/>
          <w:kern w:val="0"/>
          <w:sz w:val="32"/>
          <w:szCs w:val="32"/>
        </w:rPr>
        <w:t>本年度从本级财政部门取得的财政拨款，包括一般公共预算财政拨款和政府性基金预算财政拨款。</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（二）事业收入：</w:t>
      </w:r>
      <w:r>
        <w:rPr>
          <w:rFonts w:hint="eastAsia" w:ascii="仿宋_GB2312" w:eastAsia="仿宋_GB2312" w:hAnsiTheme="majorEastAsia"/>
          <w:color w:val="000000"/>
          <w:kern w:val="0"/>
          <w:sz w:val="32"/>
          <w:szCs w:val="32"/>
        </w:rPr>
        <w:t>指事业单位开展专业业务活动及辅助活动所取得的收入。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（三）其他收入：</w:t>
      </w:r>
      <w:r>
        <w:rPr>
          <w:rFonts w:hint="eastAsia" w:ascii="仿宋_GB2312" w:eastAsia="仿宋_GB2312" w:hAnsiTheme="majorEastAsia"/>
          <w:color w:val="000000"/>
          <w:kern w:val="0"/>
          <w:sz w:val="32"/>
          <w:szCs w:val="32"/>
        </w:rPr>
        <w:t>指除上述“财政拨款收入”“事业收入”“经营收入”等以外的收入。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（四）用事业基金弥补收支差额：</w:t>
      </w:r>
      <w:r>
        <w:rPr>
          <w:rFonts w:hint="eastAsia" w:ascii="仿宋_GB2312" w:eastAsia="仿宋_GB2312" w:hAnsiTheme="majorEastAsia"/>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（五）年初结转和结余：</w:t>
      </w:r>
      <w:r>
        <w:rPr>
          <w:rFonts w:hint="eastAsia" w:ascii="仿宋_GB2312" w:eastAsia="仿宋_GB2312" w:hAnsiTheme="majorEastAsia"/>
          <w:color w:val="000000"/>
          <w:kern w:val="0"/>
          <w:sz w:val="32"/>
          <w:szCs w:val="32"/>
        </w:rPr>
        <w:t>指以前年度尚未完成、结转到本年仍按原规定用途继续使用的资金，或项目已完成等产生的结余资金。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（六）结余分配：</w:t>
      </w:r>
      <w:r>
        <w:rPr>
          <w:rFonts w:hint="eastAsia" w:ascii="仿宋_GB2312" w:eastAsia="仿宋_GB2312" w:hAnsiTheme="majorEastAsia"/>
          <w:color w:val="000000"/>
          <w:kern w:val="0"/>
          <w:sz w:val="32"/>
          <w:szCs w:val="32"/>
        </w:rPr>
        <w:t>指事业单位按照事业单位会计制度的规定从非财政补助结余中分配的事业基金和职工福利基金等。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（七）年末结转和结余：</w:t>
      </w:r>
      <w:r>
        <w:rPr>
          <w:rFonts w:hint="eastAsia" w:ascii="仿宋_GB2312" w:eastAsia="仿宋_GB2312" w:hAnsiTheme="majorEastAsia"/>
          <w:color w:val="000000"/>
          <w:kern w:val="0"/>
          <w:sz w:val="32"/>
          <w:szCs w:val="32"/>
        </w:rPr>
        <w:t>指单位按有关规定结转到下年或以后年度继续使用的资金，或项目已完成等产生的结余资金。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（八）基本支出：</w:t>
      </w:r>
      <w:r>
        <w:rPr>
          <w:rFonts w:hint="eastAsia" w:ascii="仿宋_GB2312" w:eastAsia="仿宋_GB2312" w:hAnsiTheme="majorEastAsia"/>
          <w:color w:val="000000"/>
          <w:kern w:val="0"/>
          <w:sz w:val="32"/>
          <w:szCs w:val="32"/>
        </w:rPr>
        <w:t>填列单位为保障机构正常运转、完成日常工作任务而发生的各项支出。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（九）项目支出：</w:t>
      </w:r>
      <w:r>
        <w:rPr>
          <w:rFonts w:hint="eastAsia" w:ascii="仿宋_GB2312" w:eastAsia="仿宋_GB2312" w:hAnsiTheme="majorEastAsia"/>
          <w:color w:val="000000"/>
          <w:kern w:val="0"/>
          <w:sz w:val="32"/>
          <w:szCs w:val="32"/>
        </w:rPr>
        <w:t>填列单位为完成特定的行政工作任务或事业发展目标，在基本支出之外发生的各项支出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（十）资本性支出（基本建设）：</w:t>
      </w:r>
      <w:r>
        <w:rPr>
          <w:rFonts w:hint="eastAsia" w:ascii="仿宋_GB2312" w:eastAsia="仿宋_GB2312" w:hAnsiTheme="majorEastAsia"/>
          <w:color w:val="000000"/>
          <w:kern w:val="0"/>
          <w:sz w:val="32"/>
          <w:szCs w:val="32"/>
        </w:rPr>
        <w:t>填列切块由发展改革部门安排的基本建设支出，对企业补助支出不在此科目反映。</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（十一）资本性支出：</w:t>
      </w:r>
      <w:r>
        <w:rPr>
          <w:rFonts w:hint="eastAsia" w:ascii="仿宋_GB2312" w:eastAsia="仿宋_GB2312" w:hAnsiTheme="majorEastAsia"/>
          <w:color w:val="000000"/>
          <w:kern w:val="0"/>
          <w:sz w:val="32"/>
          <w:szCs w:val="32"/>
        </w:rPr>
        <w:t>填列各单位安排的资本性支出。切块由发展改革部门安排的基本建设支出不在此科目反映。</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（十二）“三公”经费：</w:t>
      </w:r>
      <w:r>
        <w:rPr>
          <w:rFonts w:hint="eastAsia" w:ascii="仿宋_GB2312" w:eastAsia="仿宋_GB2312" w:hAnsiTheme="majorEastAsia"/>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待费反映单位按规定开支的各类公务接待（含外宾接待）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（十三）其他交通费用：</w:t>
      </w:r>
      <w:r>
        <w:rPr>
          <w:rFonts w:hint="eastAsia" w:ascii="仿宋_GB2312" w:eastAsia="仿宋_GB2312" w:hAnsiTheme="majorEastAsia"/>
          <w:color w:val="000000"/>
          <w:kern w:val="0"/>
          <w:sz w:val="32"/>
          <w:szCs w:val="32"/>
        </w:rPr>
        <w:t>填列单位除公务用车运行维护费以外的其他交通费用。如公务交通补贴、租车费用、出租车费用、飞机、船舶等的燃料费、维修费、保险费等。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（十四）公务用车购置：</w:t>
      </w:r>
      <w:r>
        <w:rPr>
          <w:rFonts w:hint="eastAsia" w:ascii="仿宋_GB2312" w:eastAsia="仿宋_GB2312" w:hAnsiTheme="majorEastAsia"/>
          <w:color w:val="000000"/>
          <w:kern w:val="0"/>
          <w:sz w:val="32"/>
          <w:szCs w:val="32"/>
        </w:rPr>
        <w:t>填列单位公务用车购置支出（含车辆购置税、牌照费）。</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（十五）其他交通工具购置：</w:t>
      </w:r>
      <w:r>
        <w:rPr>
          <w:rFonts w:hint="eastAsia" w:ascii="仿宋_GB2312" w:eastAsia="仿宋_GB2312" w:hAnsiTheme="majorEastAsia"/>
          <w:color w:val="000000"/>
          <w:kern w:val="0"/>
          <w:sz w:val="32"/>
          <w:szCs w:val="32"/>
        </w:rPr>
        <w:t>填列单位除公务用车外的其他各类交通工具（如船舶、飞机）购置支出（含车辆购置税、牌照费）。</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（十六）机关运行经费：</w:t>
      </w:r>
      <w:r>
        <w:rPr>
          <w:rFonts w:hint="eastAsia" w:ascii="仿宋_GB2312" w:eastAsia="仿宋_GB2312" w:hAnsiTheme="majorEastAsia"/>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widowControl/>
        <w:spacing w:after="0" w:line="560" w:lineRule="exact"/>
        <w:ind w:firstLine="643" w:firstLineChars="200"/>
        <w:rPr>
          <w:rFonts w:ascii="仿宋_GB2312" w:eastAsia="仿宋_GB2312" w:cs="ArialUnicodeMS" w:hAnsiTheme="minorHAnsi"/>
          <w:kern w:val="0"/>
          <w:sz w:val="32"/>
          <w:szCs w:val="32"/>
        </w:rPr>
      </w:pPr>
      <w:r>
        <w:rPr>
          <w:rFonts w:hint="eastAsia" w:ascii="仿宋_GB2312" w:eastAsia="仿宋_GB2312" w:hAnsiTheme="majorEastAsia"/>
          <w:b/>
          <w:bCs/>
          <w:color w:val="000000"/>
          <w:kern w:val="0"/>
          <w:sz w:val="32"/>
          <w:szCs w:val="32"/>
        </w:rPr>
        <w:t>（十七）经费形式:</w:t>
      </w:r>
      <w:r>
        <w:rPr>
          <w:rFonts w:hint="eastAsia" w:ascii="仿宋_GB2312" w:eastAsia="仿宋_GB2312" w:hAnsiTheme="majorEastAsia"/>
          <w:color w:val="000000"/>
          <w:kern w:val="0"/>
          <w:sz w:val="32"/>
          <w:szCs w:val="32"/>
        </w:rPr>
        <w:t>按照经费来源，</w:t>
      </w:r>
      <w:r>
        <w:rPr>
          <w:rFonts w:hint="eastAsia" w:ascii="仿宋_GB2312" w:eastAsia="仿宋_GB2312" w:cs="ArialUnicodeMS" w:hAnsiTheme="minorHAnsi"/>
          <w:kern w:val="0"/>
          <w:sz w:val="32"/>
          <w:szCs w:val="32"/>
        </w:rPr>
        <w:t>可分为财政拨款、财政性资金基本保证、财政性资金定额或定项补助、财政性资金零补助四类。</w:t>
      </w:r>
    </w:p>
    <w:p>
      <w:pPr>
        <w:widowControl/>
        <w:spacing w:after="0" w:line="560" w:lineRule="exact"/>
        <w:ind w:firstLine="640" w:firstLineChars="200"/>
        <w:rPr>
          <w:rFonts w:ascii="仿宋_GB2312" w:eastAsia="仿宋_GB2312" w:cs="ArialUnicodeMS" w:hAnsiTheme="minorHAnsi"/>
          <w:kern w:val="0"/>
          <w:sz w:val="32"/>
          <w:szCs w:val="32"/>
        </w:rPr>
      </w:pPr>
    </w:p>
    <w:p>
      <w:pPr>
        <w:widowControl/>
        <w:spacing w:after="0" w:line="560" w:lineRule="exact"/>
        <w:ind w:firstLine="640" w:firstLineChars="200"/>
        <w:rPr>
          <w:rFonts w:ascii="仿宋_GB2312" w:eastAsia="仿宋_GB2312" w:cs="ArialUnicodeMS" w:hAnsiTheme="minorHAnsi"/>
          <w:kern w:val="0"/>
          <w:sz w:val="32"/>
          <w:szCs w:val="32"/>
        </w:rPr>
      </w:pPr>
    </w:p>
    <w:p>
      <w:pPr>
        <w:widowControl/>
        <w:spacing w:after="0" w:line="560" w:lineRule="exact"/>
        <w:ind w:firstLine="640" w:firstLineChars="200"/>
        <w:rPr>
          <w:rFonts w:ascii="仿宋_GB2312" w:eastAsia="仿宋_GB2312" w:cs="ArialUnicodeMS" w:hAnsiTheme="minorHAnsi"/>
          <w:kern w:val="0"/>
          <w:sz w:val="32"/>
          <w:szCs w:val="32"/>
        </w:rPr>
      </w:pPr>
    </w:p>
    <w:p>
      <w:pPr>
        <w:widowControl/>
        <w:spacing w:after="0" w:line="560" w:lineRule="exact"/>
        <w:ind w:firstLine="640" w:firstLineChars="200"/>
        <w:rPr>
          <w:rFonts w:ascii="仿宋_GB2312" w:eastAsia="仿宋_GB2312" w:cs="ArialUnicodeMS" w:hAnsiTheme="minorHAnsi"/>
          <w:kern w:val="0"/>
          <w:sz w:val="32"/>
          <w:szCs w:val="32"/>
        </w:rPr>
      </w:pPr>
    </w:p>
    <w:p>
      <w:pPr>
        <w:widowControl/>
        <w:spacing w:after="0" w:line="560" w:lineRule="exact"/>
        <w:ind w:firstLine="640" w:firstLineChars="200"/>
        <w:rPr>
          <w:rFonts w:ascii="仿宋_GB2312" w:eastAsia="仿宋_GB2312" w:cs="ArialUnicodeMS" w:hAnsiTheme="minorHAnsi"/>
          <w:kern w:val="0"/>
          <w:sz w:val="32"/>
          <w:szCs w:val="32"/>
        </w:rPr>
      </w:pPr>
    </w:p>
    <w:p>
      <w:pPr>
        <w:widowControl/>
        <w:spacing w:after="0" w:line="560" w:lineRule="exact"/>
        <w:ind w:firstLine="640" w:firstLineChars="200"/>
        <w:rPr>
          <w:rFonts w:ascii="仿宋_GB2312" w:eastAsia="仿宋_GB2312" w:cs="ArialUnicodeMS" w:hAnsiTheme="minorHAnsi"/>
          <w:kern w:val="0"/>
          <w:sz w:val="32"/>
          <w:szCs w:val="32"/>
        </w:rPr>
      </w:pPr>
    </w:p>
    <w:p>
      <w:pPr>
        <w:widowControl/>
        <w:spacing w:after="0" w:line="560" w:lineRule="exact"/>
        <w:ind w:firstLine="640" w:firstLineChars="200"/>
        <w:rPr>
          <w:rFonts w:ascii="仿宋_GB2312" w:eastAsia="仿宋_GB2312" w:cs="ArialUnicodeMS" w:hAnsiTheme="minorHAnsi"/>
          <w:kern w:val="0"/>
          <w:sz w:val="32"/>
          <w:szCs w:val="32"/>
        </w:rPr>
      </w:pPr>
    </w:p>
    <w:p>
      <w:pPr>
        <w:widowControl/>
        <w:spacing w:after="0" w:line="560" w:lineRule="exact"/>
        <w:ind w:firstLine="640" w:firstLineChars="200"/>
        <w:rPr>
          <w:rFonts w:ascii="仿宋_GB2312" w:eastAsia="仿宋_GB2312" w:cs="ArialUnicodeMS" w:hAnsiTheme="minorHAnsi"/>
          <w:kern w:val="0"/>
          <w:sz w:val="32"/>
          <w:szCs w:val="32"/>
        </w:rPr>
      </w:pPr>
    </w:p>
    <w:p>
      <w:pPr>
        <w:widowControl/>
        <w:spacing w:after="0" w:line="560" w:lineRule="exact"/>
        <w:ind w:firstLine="640" w:firstLineChars="200"/>
        <w:rPr>
          <w:rFonts w:ascii="仿宋_GB2312" w:eastAsia="仿宋_GB2312" w:cs="ArialUnicodeMS" w:hAnsiTheme="minorHAnsi"/>
          <w:kern w:val="0"/>
          <w:sz w:val="32"/>
          <w:szCs w:val="32"/>
        </w:rPr>
      </w:pPr>
    </w:p>
    <w:p>
      <w:pPr>
        <w:widowControl/>
        <w:spacing w:after="0" w:line="560" w:lineRule="exact"/>
        <w:rPr>
          <w:rFonts w:ascii="仿宋_GB2312" w:eastAsia="仿宋_GB2312" w:cs="ArialUnicodeMS" w:hAnsiTheme="minorHAnsi"/>
          <w:kern w:val="0"/>
          <w:sz w:val="32"/>
          <w:szCs w:val="32"/>
        </w:rPr>
      </w:pPr>
    </w:p>
    <w:sectPr>
      <w:pgSz w:w="11906" w:h="16838"/>
      <w:pgMar w:top="2098" w:right="1474" w:bottom="1985" w:left="158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79418841-F0D5-4788-994B-B52AC43A16E3}"/>
  </w:font>
  <w:font w:name="黑体">
    <w:panose1 w:val="02010609060101010101"/>
    <w:charset w:val="86"/>
    <w:family w:val="auto"/>
    <w:pitch w:val="default"/>
    <w:sig w:usb0="800002BF" w:usb1="38CF7CFA" w:usb2="00000016" w:usb3="00000000" w:csb0="00040001" w:csb1="00000000"/>
    <w:embedRegular r:id="rId2" w:fontKey="{66E91537-A0AC-4F6F-83C4-EC4889F6C52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6C1DEF33-72B4-4014-8E9B-972F601AEF76}"/>
  </w:font>
  <w:font w:name="Cambria">
    <w:panose1 w:val="02040503050406030204"/>
    <w:charset w:val="00"/>
    <w:family w:val="roman"/>
    <w:pitch w:val="default"/>
    <w:sig w:usb0="E00006FF" w:usb1="420024FF" w:usb2="02000000" w:usb3="00000000" w:csb0="2000019F" w:csb1="00000000"/>
    <w:embedRegular r:id="rId4" w:fontKey="{06557E8F-80F8-482B-B7AB-02F4670B4A32}"/>
  </w:font>
  <w:font w:name="楷体">
    <w:panose1 w:val="02010609060101010101"/>
    <w:charset w:val="86"/>
    <w:family w:val="modern"/>
    <w:pitch w:val="default"/>
    <w:sig w:usb0="800002BF" w:usb1="38CF7CFA" w:usb2="00000016" w:usb3="00000000" w:csb0="00040001" w:csb1="00000000"/>
    <w:embedRegular r:id="rId5" w:fontKey="{38630B28-0234-42C4-A6A2-898A7453B6CE}"/>
  </w:font>
  <w:font w:name="仿宋_GB2312">
    <w:panose1 w:val="02010609030101010101"/>
    <w:charset w:val="86"/>
    <w:family w:val="modern"/>
    <w:pitch w:val="default"/>
    <w:sig w:usb0="00000000" w:usb1="00000000" w:usb2="00000000" w:usb3="00000000" w:csb0="00000000" w:csb1="00000000"/>
    <w:embedRegular r:id="rId6" w:fontKey="{A86FCCDA-F7E3-4149-8A4D-E6290886044D}"/>
  </w:font>
  <w:font w:name="仿宋">
    <w:panose1 w:val="02010609060101010101"/>
    <w:charset w:val="86"/>
    <w:family w:val="auto"/>
    <w:pitch w:val="default"/>
    <w:sig w:usb0="800002BF" w:usb1="38CF7CFA" w:usb2="00000016" w:usb3="00000000" w:csb0="00040001" w:csb1="00000000"/>
    <w:embedRegular r:id="rId7" w:fontKey="{4EF9A175-EB92-490E-92B6-53F2694179E0}"/>
  </w:font>
  <w:font w:name="方正仿宋_GBK">
    <w:altName w:val="微软雅黑"/>
    <w:panose1 w:val="00000000000000000000"/>
    <w:charset w:val="86"/>
    <w:family w:val="script"/>
    <w:pitch w:val="default"/>
    <w:sig w:usb0="00000000" w:usb1="00000000" w:usb2="00000010" w:usb3="00000000" w:csb0="00040000" w:csb1="00000000"/>
    <w:embedRegular r:id="rId8" w:fontKey="{48327C03-57DA-4050-A6F4-C75AC88306B0}"/>
  </w:font>
  <w:font w:name="方正小标宋_GBK">
    <w:altName w:val="微软雅黑"/>
    <w:panose1 w:val="00000000000000000000"/>
    <w:charset w:val="86"/>
    <w:family w:val="script"/>
    <w:pitch w:val="default"/>
    <w:sig w:usb0="00000000" w:usb1="00000000" w:usb2="00000010" w:usb3="00000000" w:csb0="00040000" w:csb1="00000000"/>
    <w:embedRegular r:id="rId9" w:fontKey="{09B5AF27-9555-4462-AC35-C84F102641A6}"/>
  </w:font>
  <w:font w:name="ArialUnicodeMS">
    <w:altName w:val="Malgun Gothic"/>
    <w:panose1 w:val="00000000000000000000"/>
    <w:charset w:val="81"/>
    <w:family w:val="auto"/>
    <w:pitch w:val="default"/>
    <w:sig w:usb0="00000000" w:usb1="00000000" w:usb2="00000010" w:usb3="00000000" w:csb0="00080001" w:csb1="00000000"/>
    <w:embedRegular r:id="rId10" w:fontKey="{B30E0C3E-576E-4646-A1BB-8FF287BD61B5}"/>
  </w:font>
  <w:font w:name="MS-UIGothic,Bold">
    <w:altName w:val="Malgun Gothic"/>
    <w:panose1 w:val="00000000000000000000"/>
    <w:charset w:val="81"/>
    <w:family w:val="auto"/>
    <w:pitch w:val="default"/>
    <w:sig w:usb0="00000000" w:usb1="00000000" w:usb2="00000010" w:usb3="00000000" w:csb0="00080000" w:csb1="00000000"/>
    <w:embedRegular r:id="rId11" w:fontKey="{41BBE2F1-2DFD-4E11-8B1C-44325EAFFB2D}"/>
  </w:font>
  <w:font w:name="DengXian-Regular">
    <w:altName w:val="宋体"/>
    <w:panose1 w:val="00000000000000000000"/>
    <w:charset w:val="86"/>
    <w:family w:val="auto"/>
    <w:pitch w:val="default"/>
    <w:sig w:usb0="00000000" w:usb1="00000000" w:usb2="00000010" w:usb3="00000000" w:csb0="00040001" w:csb1="00000000"/>
    <w:embedRegular r:id="rId12" w:fontKey="{DFADFD79-DDAF-45A5-AB9D-6FE232591C82}"/>
  </w:font>
  <w:font w:name="楷体_GB2312">
    <w:altName w:val="楷体"/>
    <w:panose1 w:val="00000000000000000000"/>
    <w:charset w:val="86"/>
    <w:family w:val="modern"/>
    <w:pitch w:val="default"/>
    <w:sig w:usb0="00000000" w:usb1="00000000" w:usb2="00000010" w:usb3="00000000" w:csb0="00040000" w:csb1="00000000"/>
    <w:embedRegular r:id="rId13" w:fontKey="{FD9B8EDB-AD96-4040-9000-79A594CA2EA5}"/>
  </w:font>
  <w:font w:name="DengXian-Bold">
    <w:altName w:val="宋体"/>
    <w:panose1 w:val="00000000000000000000"/>
    <w:charset w:val="86"/>
    <w:family w:val="auto"/>
    <w:pitch w:val="default"/>
    <w:sig w:usb0="00000000" w:usb1="00000000" w:usb2="00000010" w:usb3="00000000" w:csb0="00040001" w:csb1="00000000"/>
    <w:embedRegular r:id="rId14" w:fontKey="{0E666056-680C-4C17-8322-2C184E36F330}"/>
  </w:font>
  <w:font w:name="TimesNewRomanPSMT">
    <w:altName w:val="Arial"/>
    <w:panose1 w:val="00000000000000000000"/>
    <w:charset w:val="00"/>
    <w:family w:val="swiss"/>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 w:name="仿宋_GB2312">
    <w:panose1 w:val="02010609030101010101"/>
    <w:charset w:val="00"/>
    <w:family w:val="auto"/>
    <w:pitch w:val="default"/>
    <w:sig w:usb0="00000000" w:usb1="00000000" w:usb2="00000000" w:usb3="00000000" w:csb0="00000000" w:csb1="00000000"/>
  </w:font>
  <w:font w:name="Malgun Gothic">
    <w:panose1 w:val="020B0503020000020004"/>
    <w:charset w:val="81"/>
    <w:family w:val="auto"/>
    <w:pitch w:val="default"/>
    <w:sig w:usb0="9000002F" w:usb1="29D77CFB" w:usb2="00000012" w:usb3="00000000" w:csb0="00080001" w:csb1="00000000"/>
  </w:font>
  <w:font w:name="楷体_GB2312">
    <w:altName w:val="楷体"/>
    <w:panose1 w:val="00000000000000000000"/>
    <w:charset w:val="00"/>
    <w:family w:val="auto"/>
    <w:pitch w:val="default"/>
    <w:sig w:usb0="00000000" w:usb1="00000000" w:usb2="00000000" w:usb3="00000000" w:csb0="0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2916BCB"/>
    <w:multiLevelType w:val="singleLevel"/>
    <w:tmpl w:val="C2916BCB"/>
    <w:lvl w:ilvl="0" w:tentative="0">
      <w:start w:val="2"/>
      <w:numFmt w:val="chineseCounting"/>
      <w:suff w:val="nothing"/>
      <w:lvlText w:val="（%1）"/>
      <w:lvlJc w:val="left"/>
      <w:rPr>
        <w:rFonts w:hint="eastAsia"/>
      </w:rPr>
    </w:lvl>
  </w:abstractNum>
  <w:abstractNum w:abstractNumId="1">
    <w:nsid w:val="45DB9A87"/>
    <w:multiLevelType w:val="singleLevel"/>
    <w:tmpl w:val="45DB9A87"/>
    <w:lvl w:ilvl="0" w:tentative="0">
      <w:start w:val="3"/>
      <w:numFmt w:val="chineseCounting"/>
      <w:suff w:val="nothing"/>
      <w:lvlText w:val="（%1）"/>
      <w:lvlJc w:val="left"/>
      <w:rPr>
        <w:rFonts w:hint="eastAsia"/>
      </w:rPr>
    </w:lvl>
  </w:abstractNum>
  <w:abstractNum w:abstractNumId="2">
    <w:nsid w:val="5F222FFA"/>
    <w:multiLevelType w:val="singleLevel"/>
    <w:tmpl w:val="5F222FFA"/>
    <w:lvl w:ilvl="0" w:tentative="0">
      <w:start w:val="1"/>
      <w:numFmt w:val="decimal"/>
      <w:suff w:val="nothing"/>
      <w:lvlText w:val="（%1）"/>
      <w:lvlJc w:val="left"/>
      <w:pPr>
        <w:ind w:left="-43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7"/>
  <w:displayBackgroundShape w:val="1"/>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1413"/>
    <w:rsid w:val="00020FAF"/>
    <w:rsid w:val="00022474"/>
    <w:rsid w:val="00024E7F"/>
    <w:rsid w:val="000475A0"/>
    <w:rsid w:val="00067693"/>
    <w:rsid w:val="000838C3"/>
    <w:rsid w:val="000B2446"/>
    <w:rsid w:val="000D7C65"/>
    <w:rsid w:val="000E2F81"/>
    <w:rsid w:val="00101F8D"/>
    <w:rsid w:val="00117946"/>
    <w:rsid w:val="00117E2C"/>
    <w:rsid w:val="00146C47"/>
    <w:rsid w:val="00152FB8"/>
    <w:rsid w:val="00176658"/>
    <w:rsid w:val="0018239E"/>
    <w:rsid w:val="001B3410"/>
    <w:rsid w:val="001B7503"/>
    <w:rsid w:val="001C030D"/>
    <w:rsid w:val="001C4A84"/>
    <w:rsid w:val="001E5902"/>
    <w:rsid w:val="00233705"/>
    <w:rsid w:val="00246D99"/>
    <w:rsid w:val="00257266"/>
    <w:rsid w:val="00262306"/>
    <w:rsid w:val="00275CA2"/>
    <w:rsid w:val="002A65A5"/>
    <w:rsid w:val="002C04C4"/>
    <w:rsid w:val="002D08B0"/>
    <w:rsid w:val="002D1AE3"/>
    <w:rsid w:val="002F2ECE"/>
    <w:rsid w:val="00341C8F"/>
    <w:rsid w:val="0035463A"/>
    <w:rsid w:val="00391D9D"/>
    <w:rsid w:val="003B6C51"/>
    <w:rsid w:val="003C1413"/>
    <w:rsid w:val="003C549F"/>
    <w:rsid w:val="003D5A16"/>
    <w:rsid w:val="003E7DB3"/>
    <w:rsid w:val="00431175"/>
    <w:rsid w:val="004374A3"/>
    <w:rsid w:val="00493686"/>
    <w:rsid w:val="004B6E37"/>
    <w:rsid w:val="004C32BA"/>
    <w:rsid w:val="004C68EF"/>
    <w:rsid w:val="00575922"/>
    <w:rsid w:val="005A3C0D"/>
    <w:rsid w:val="005A6C90"/>
    <w:rsid w:val="005B37E6"/>
    <w:rsid w:val="005E3FB0"/>
    <w:rsid w:val="005F4B66"/>
    <w:rsid w:val="005F5208"/>
    <w:rsid w:val="00615C31"/>
    <w:rsid w:val="00641318"/>
    <w:rsid w:val="0064405D"/>
    <w:rsid w:val="00695557"/>
    <w:rsid w:val="006D4EA7"/>
    <w:rsid w:val="0070012A"/>
    <w:rsid w:val="0070664B"/>
    <w:rsid w:val="007071B8"/>
    <w:rsid w:val="007155C2"/>
    <w:rsid w:val="007414DE"/>
    <w:rsid w:val="00760C0C"/>
    <w:rsid w:val="007905A9"/>
    <w:rsid w:val="007E072B"/>
    <w:rsid w:val="007E5500"/>
    <w:rsid w:val="007F055B"/>
    <w:rsid w:val="00811C2F"/>
    <w:rsid w:val="00833D46"/>
    <w:rsid w:val="00836215"/>
    <w:rsid w:val="00840A97"/>
    <w:rsid w:val="00872B02"/>
    <w:rsid w:val="00873292"/>
    <w:rsid w:val="008A640A"/>
    <w:rsid w:val="008C0149"/>
    <w:rsid w:val="008D5DED"/>
    <w:rsid w:val="008E25CA"/>
    <w:rsid w:val="008F34FC"/>
    <w:rsid w:val="00944CD7"/>
    <w:rsid w:val="00961190"/>
    <w:rsid w:val="009831B2"/>
    <w:rsid w:val="009A1ABE"/>
    <w:rsid w:val="009E21A4"/>
    <w:rsid w:val="009F22C6"/>
    <w:rsid w:val="00A07E50"/>
    <w:rsid w:val="00A12C15"/>
    <w:rsid w:val="00A15397"/>
    <w:rsid w:val="00A35CE0"/>
    <w:rsid w:val="00A4462E"/>
    <w:rsid w:val="00A44AA4"/>
    <w:rsid w:val="00A61623"/>
    <w:rsid w:val="00A84687"/>
    <w:rsid w:val="00AA0458"/>
    <w:rsid w:val="00AB0A0E"/>
    <w:rsid w:val="00AD3B6E"/>
    <w:rsid w:val="00AF6D31"/>
    <w:rsid w:val="00B1751F"/>
    <w:rsid w:val="00B50F96"/>
    <w:rsid w:val="00B56722"/>
    <w:rsid w:val="00B67044"/>
    <w:rsid w:val="00B74D39"/>
    <w:rsid w:val="00B827C6"/>
    <w:rsid w:val="00B91DA4"/>
    <w:rsid w:val="00BA7174"/>
    <w:rsid w:val="00C12630"/>
    <w:rsid w:val="00C34562"/>
    <w:rsid w:val="00C3774E"/>
    <w:rsid w:val="00C57456"/>
    <w:rsid w:val="00C65387"/>
    <w:rsid w:val="00C87FAB"/>
    <w:rsid w:val="00C91FF7"/>
    <w:rsid w:val="00C92D15"/>
    <w:rsid w:val="00C94E53"/>
    <w:rsid w:val="00CE3FC3"/>
    <w:rsid w:val="00D0048E"/>
    <w:rsid w:val="00D23E7A"/>
    <w:rsid w:val="00D56D8F"/>
    <w:rsid w:val="00D61063"/>
    <w:rsid w:val="00DB35AF"/>
    <w:rsid w:val="00DD72D7"/>
    <w:rsid w:val="00DF5B88"/>
    <w:rsid w:val="00E0589E"/>
    <w:rsid w:val="00E0697F"/>
    <w:rsid w:val="00E241FA"/>
    <w:rsid w:val="00E2595E"/>
    <w:rsid w:val="00E35374"/>
    <w:rsid w:val="00E50C19"/>
    <w:rsid w:val="00E64655"/>
    <w:rsid w:val="00E73081"/>
    <w:rsid w:val="00E856C9"/>
    <w:rsid w:val="00EA4F68"/>
    <w:rsid w:val="00EB6A8B"/>
    <w:rsid w:val="00EC6814"/>
    <w:rsid w:val="00ED411D"/>
    <w:rsid w:val="00EF38C6"/>
    <w:rsid w:val="00F679C7"/>
    <w:rsid w:val="00F7711A"/>
    <w:rsid w:val="00F80C72"/>
    <w:rsid w:val="00FA0D58"/>
    <w:rsid w:val="00FA1580"/>
    <w:rsid w:val="00FA56F4"/>
    <w:rsid w:val="00FB4EDA"/>
    <w:rsid w:val="00FD3BD5"/>
    <w:rsid w:val="00FE3DC8"/>
    <w:rsid w:val="010036B1"/>
    <w:rsid w:val="021266DB"/>
    <w:rsid w:val="02184DD3"/>
    <w:rsid w:val="02943F66"/>
    <w:rsid w:val="04073F84"/>
    <w:rsid w:val="047B069D"/>
    <w:rsid w:val="064C35A6"/>
    <w:rsid w:val="07C06D75"/>
    <w:rsid w:val="09E872C3"/>
    <w:rsid w:val="09F06A47"/>
    <w:rsid w:val="0B60750A"/>
    <w:rsid w:val="0C3B1489"/>
    <w:rsid w:val="10686488"/>
    <w:rsid w:val="10DF728A"/>
    <w:rsid w:val="1264200E"/>
    <w:rsid w:val="12C51904"/>
    <w:rsid w:val="14194D17"/>
    <w:rsid w:val="141C5B77"/>
    <w:rsid w:val="1723397C"/>
    <w:rsid w:val="18135228"/>
    <w:rsid w:val="18D8339D"/>
    <w:rsid w:val="1A21388F"/>
    <w:rsid w:val="1A570D2F"/>
    <w:rsid w:val="1CFB06DC"/>
    <w:rsid w:val="1D356B77"/>
    <w:rsid w:val="1E1D4118"/>
    <w:rsid w:val="1E5D7203"/>
    <w:rsid w:val="1E73045C"/>
    <w:rsid w:val="22122FD0"/>
    <w:rsid w:val="270B55DD"/>
    <w:rsid w:val="28FB0B8D"/>
    <w:rsid w:val="2969250B"/>
    <w:rsid w:val="2D2B7942"/>
    <w:rsid w:val="2D46481D"/>
    <w:rsid w:val="2E733B28"/>
    <w:rsid w:val="2F040A16"/>
    <w:rsid w:val="3116245F"/>
    <w:rsid w:val="31852B5A"/>
    <w:rsid w:val="32314B5D"/>
    <w:rsid w:val="32D01238"/>
    <w:rsid w:val="33991568"/>
    <w:rsid w:val="3457351B"/>
    <w:rsid w:val="35793779"/>
    <w:rsid w:val="361E6C22"/>
    <w:rsid w:val="366C5CC9"/>
    <w:rsid w:val="383355E6"/>
    <w:rsid w:val="38E66167"/>
    <w:rsid w:val="3D18460B"/>
    <w:rsid w:val="3DFC59A8"/>
    <w:rsid w:val="3ECF245E"/>
    <w:rsid w:val="3F8C33E1"/>
    <w:rsid w:val="3FB46671"/>
    <w:rsid w:val="3FB96314"/>
    <w:rsid w:val="40617E0F"/>
    <w:rsid w:val="43F75F63"/>
    <w:rsid w:val="4701167A"/>
    <w:rsid w:val="48034C99"/>
    <w:rsid w:val="4BAB79D3"/>
    <w:rsid w:val="4BB54887"/>
    <w:rsid w:val="4D1D4A9A"/>
    <w:rsid w:val="4D5F7BF1"/>
    <w:rsid w:val="4FDC5797"/>
    <w:rsid w:val="500118AD"/>
    <w:rsid w:val="50677B34"/>
    <w:rsid w:val="53481AA7"/>
    <w:rsid w:val="53A271F4"/>
    <w:rsid w:val="53A44FAF"/>
    <w:rsid w:val="53F347C6"/>
    <w:rsid w:val="544F7D38"/>
    <w:rsid w:val="549E5036"/>
    <w:rsid w:val="56091D20"/>
    <w:rsid w:val="567E2132"/>
    <w:rsid w:val="58346D7A"/>
    <w:rsid w:val="58AF6B8C"/>
    <w:rsid w:val="594329EC"/>
    <w:rsid w:val="5B1B183A"/>
    <w:rsid w:val="5BC212D1"/>
    <w:rsid w:val="5BEE1540"/>
    <w:rsid w:val="5C5A4010"/>
    <w:rsid w:val="5DE61A5D"/>
    <w:rsid w:val="5EA562D4"/>
    <w:rsid w:val="5F7E0A8D"/>
    <w:rsid w:val="5FCE2177"/>
    <w:rsid w:val="60B348F7"/>
    <w:rsid w:val="6249381A"/>
    <w:rsid w:val="628A04F3"/>
    <w:rsid w:val="630A609C"/>
    <w:rsid w:val="63C04243"/>
    <w:rsid w:val="649C01C7"/>
    <w:rsid w:val="65F05F22"/>
    <w:rsid w:val="66563BCE"/>
    <w:rsid w:val="67595DF2"/>
    <w:rsid w:val="699A3F60"/>
    <w:rsid w:val="6B4064E0"/>
    <w:rsid w:val="6BC26E60"/>
    <w:rsid w:val="6ECD7583"/>
    <w:rsid w:val="72902E62"/>
    <w:rsid w:val="73C61104"/>
    <w:rsid w:val="73C860EF"/>
    <w:rsid w:val="7491663C"/>
    <w:rsid w:val="76792B6D"/>
    <w:rsid w:val="776452EA"/>
    <w:rsid w:val="78A500B8"/>
    <w:rsid w:val="7BB6473A"/>
    <w:rsid w:val="7C2B5B59"/>
    <w:rsid w:val="7C441FCF"/>
    <w:rsid w:val="7D950B7C"/>
    <w:rsid w:val="7DC663B9"/>
    <w:rsid w:val="7E926980"/>
    <w:rsid w:val="7F1278BD"/>
    <w:rsid w:val="7F1C4DA8"/>
    <w:rsid w:val="7F267659"/>
    <w:rsid w:val="7FD2103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1"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9"/>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0"/>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Date"/>
    <w:basedOn w:val="1"/>
    <w:next w:val="1"/>
    <w:link w:val="31"/>
    <w:semiHidden/>
    <w:unhideWhenUsed/>
    <w:qFormat/>
    <w:uiPriority w:val="99"/>
    <w:pPr>
      <w:ind w:left="100" w:leftChars="2500"/>
    </w:pPr>
  </w:style>
  <w:style w:type="paragraph" w:styleId="7">
    <w:name w:val="Balloon Text"/>
    <w:basedOn w:val="1"/>
    <w:link w:val="19"/>
    <w:semiHidden/>
    <w:unhideWhenUsed/>
    <w:qFormat/>
    <w:uiPriority w:val="99"/>
    <w:rPr>
      <w:sz w:val="18"/>
      <w:szCs w:val="18"/>
    </w:rPr>
  </w:style>
  <w:style w:type="paragraph" w:styleId="8">
    <w:name w:val="footer"/>
    <w:basedOn w:val="1"/>
    <w:link w:val="16"/>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9">
    <w:name w:val="header"/>
    <w:basedOn w:val="1"/>
    <w:link w:val="15"/>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0">
    <w:name w:val="Subtitle"/>
    <w:basedOn w:val="1"/>
    <w:next w:val="1"/>
    <w:link w:val="21"/>
    <w:qFormat/>
    <w:uiPriority w:val="11"/>
    <w:pPr>
      <w:widowControl/>
      <w:spacing w:after="200" w:line="276" w:lineRule="auto"/>
      <w:jc w:val="left"/>
    </w:pPr>
    <w:rPr>
      <w:rFonts w:asciiTheme="majorHAnsi" w:hAnsiTheme="majorHAnsi" w:eastAsiaTheme="majorEastAsia" w:cstheme="majorBidi"/>
      <w:i/>
      <w:iCs/>
      <w:color w:val="F0A22E" w:themeColor="accent1"/>
      <w:spacing w:val="15"/>
      <w:kern w:val="0"/>
      <w:sz w:val="24"/>
      <w14:textFill>
        <w14:solidFill>
          <w14:schemeClr w14:val="accent1"/>
        </w14:solidFill>
      </w14:textFill>
    </w:rPr>
  </w:style>
  <w:style w:type="paragraph" w:styleId="11">
    <w:name w:val="Title"/>
    <w:basedOn w:val="1"/>
    <w:next w:val="1"/>
    <w:link w:val="20"/>
    <w:qFormat/>
    <w:uiPriority w:val="10"/>
    <w:pPr>
      <w:widowControl/>
      <w:pBdr>
        <w:bottom w:val="single" w:color="F0A22E" w:themeColor="accent1" w:sz="8" w:space="4"/>
      </w:pBdr>
      <w:spacing w:after="300"/>
      <w:contextualSpacing/>
      <w:jc w:val="left"/>
    </w:pPr>
    <w:rPr>
      <w:rFonts w:asciiTheme="majorHAnsi" w:hAnsiTheme="majorHAnsi" w:eastAsiaTheme="majorEastAsia" w:cstheme="majorBidi"/>
      <w:color w:val="3B2C24" w:themeColor="text2" w:themeShade="BF"/>
      <w:spacing w:val="5"/>
      <w:kern w:val="28"/>
      <w:sz w:val="52"/>
      <w:szCs w:val="52"/>
    </w:rPr>
  </w:style>
  <w:style w:type="table" w:styleId="13">
    <w:name w:val="Table Grid"/>
    <w:basedOn w:val="12"/>
    <w:qFormat/>
    <w:uiPriority w:val="1"/>
    <w:rPr>
      <w:sz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15">
    <w:name w:val="页眉 Char"/>
    <w:basedOn w:val="14"/>
    <w:link w:val="9"/>
    <w:qFormat/>
    <w:uiPriority w:val="99"/>
    <w:rPr>
      <w:sz w:val="18"/>
      <w:szCs w:val="18"/>
    </w:rPr>
  </w:style>
  <w:style w:type="character" w:customStyle="1" w:styleId="16">
    <w:name w:val="页脚 Char"/>
    <w:basedOn w:val="14"/>
    <w:link w:val="8"/>
    <w:qFormat/>
    <w:uiPriority w:val="99"/>
    <w:rPr>
      <w:sz w:val="18"/>
      <w:szCs w:val="18"/>
    </w:rPr>
  </w:style>
  <w:style w:type="paragraph" w:styleId="17">
    <w:name w:val="No Spacing"/>
    <w:link w:val="18"/>
    <w:qFormat/>
    <w:uiPriority w:val="1"/>
    <w:pPr>
      <w:spacing w:after="160" w:line="480" w:lineRule="auto"/>
    </w:pPr>
    <w:rPr>
      <w:rFonts w:asciiTheme="minorHAnsi" w:hAnsiTheme="minorHAnsi" w:eastAsiaTheme="minorEastAsia" w:cstheme="minorBidi"/>
      <w:sz w:val="22"/>
      <w:szCs w:val="22"/>
      <w:lang w:val="en-US" w:eastAsia="zh-CN" w:bidi="ar-SA"/>
    </w:rPr>
  </w:style>
  <w:style w:type="character" w:customStyle="1" w:styleId="18">
    <w:name w:val="无间隔 Char"/>
    <w:basedOn w:val="14"/>
    <w:link w:val="17"/>
    <w:qFormat/>
    <w:uiPriority w:val="1"/>
    <w:rPr>
      <w:kern w:val="0"/>
      <w:sz w:val="22"/>
    </w:rPr>
  </w:style>
  <w:style w:type="character" w:customStyle="1" w:styleId="19">
    <w:name w:val="批注框文本 Char"/>
    <w:basedOn w:val="14"/>
    <w:link w:val="7"/>
    <w:semiHidden/>
    <w:qFormat/>
    <w:uiPriority w:val="99"/>
    <w:rPr>
      <w:rFonts w:ascii="Times New Roman" w:hAnsi="Times New Roman" w:eastAsia="宋体" w:cs="Times New Roman"/>
      <w:sz w:val="18"/>
      <w:szCs w:val="18"/>
    </w:rPr>
  </w:style>
  <w:style w:type="character" w:customStyle="1" w:styleId="20">
    <w:name w:val="标题 Char"/>
    <w:basedOn w:val="14"/>
    <w:link w:val="11"/>
    <w:qFormat/>
    <w:uiPriority w:val="10"/>
    <w:rPr>
      <w:rFonts w:asciiTheme="majorHAnsi" w:hAnsiTheme="majorHAnsi" w:eastAsiaTheme="majorEastAsia" w:cstheme="majorBidi"/>
      <w:color w:val="3B2C24" w:themeColor="text2" w:themeShade="BF"/>
      <w:spacing w:val="5"/>
      <w:kern w:val="28"/>
      <w:sz w:val="52"/>
      <w:szCs w:val="52"/>
    </w:rPr>
  </w:style>
  <w:style w:type="character" w:customStyle="1" w:styleId="21">
    <w:name w:val="副标题 Char"/>
    <w:basedOn w:val="14"/>
    <w:link w:val="10"/>
    <w:qFormat/>
    <w:uiPriority w:val="11"/>
    <w:rPr>
      <w:rFonts w:asciiTheme="majorHAnsi" w:hAnsiTheme="majorHAnsi" w:eastAsiaTheme="majorEastAsia" w:cstheme="majorBidi"/>
      <w:i/>
      <w:iCs/>
      <w:color w:val="F0A22E" w:themeColor="accent1"/>
      <w:spacing w:val="15"/>
      <w:kern w:val="0"/>
      <w:sz w:val="24"/>
      <w:szCs w:val="24"/>
      <w14:textFill>
        <w14:solidFill>
          <w14:schemeClr w14:val="accent1"/>
        </w14:solidFill>
      </w14:textFill>
    </w:rPr>
  </w:style>
  <w:style w:type="character" w:customStyle="1" w:styleId="22">
    <w:name w:val="Style1"/>
    <w:basedOn w:val="14"/>
    <w:qFormat/>
    <w:uiPriority w:val="1"/>
    <w:rPr>
      <w:rFonts w:asciiTheme="minorHAnsi" w:hAnsiTheme="minorEastAsia" w:eastAsiaTheme="minorEastAsia" w:cstheme="minorBidi"/>
      <w:sz w:val="22"/>
      <w:szCs w:val="22"/>
      <w:lang w:eastAsia="zh-CN"/>
    </w:rPr>
  </w:style>
  <w:style w:type="character" w:customStyle="1" w:styleId="23">
    <w:name w:val="Style2"/>
    <w:basedOn w:val="14"/>
    <w:qFormat/>
    <w:uiPriority w:val="1"/>
    <w:rPr>
      <w:rFonts w:asciiTheme="minorHAnsi" w:hAnsiTheme="minorEastAsia" w:eastAsiaTheme="minorEastAsia" w:cstheme="minorBidi"/>
      <w:sz w:val="22"/>
      <w:szCs w:val="22"/>
      <w:lang w:eastAsia="zh-CN"/>
    </w:rPr>
  </w:style>
  <w:style w:type="character" w:customStyle="1" w:styleId="24">
    <w:name w:val="Style3"/>
    <w:basedOn w:val="14"/>
    <w:qFormat/>
    <w:uiPriority w:val="1"/>
    <w:rPr>
      <w:rFonts w:asciiTheme="minorHAnsi" w:hAnsiTheme="minorEastAsia" w:eastAsiaTheme="minorEastAsia" w:cstheme="minorBidi"/>
      <w:szCs w:val="22"/>
      <w:lang w:eastAsia="zh-CN"/>
    </w:rPr>
  </w:style>
  <w:style w:type="character" w:customStyle="1" w:styleId="25">
    <w:name w:val="Style4"/>
    <w:basedOn w:val="14"/>
    <w:qFormat/>
    <w:uiPriority w:val="1"/>
    <w:rPr>
      <w:rFonts w:asciiTheme="minorHAnsi" w:hAnsiTheme="minorEastAsia" w:eastAsiaTheme="minorEastAsia" w:cstheme="minorBidi"/>
      <w:szCs w:val="22"/>
      <w:lang w:eastAsia="zh-CN"/>
    </w:rPr>
  </w:style>
  <w:style w:type="character" w:customStyle="1" w:styleId="26">
    <w:name w:val="Style5"/>
    <w:basedOn w:val="14"/>
    <w:qFormat/>
    <w:uiPriority w:val="1"/>
    <w:rPr>
      <w:rFonts w:asciiTheme="minorHAnsi" w:hAnsiTheme="minorEastAsia" w:eastAsiaTheme="minorEastAsia" w:cstheme="minorBidi"/>
      <w:sz w:val="22"/>
      <w:szCs w:val="22"/>
      <w:lang w:eastAsia="zh-CN"/>
    </w:rPr>
  </w:style>
  <w:style w:type="character" w:customStyle="1" w:styleId="27">
    <w:name w:val="标题 1 Char"/>
    <w:basedOn w:val="14"/>
    <w:link w:val="2"/>
    <w:qFormat/>
    <w:uiPriority w:val="9"/>
    <w:rPr>
      <w:rFonts w:ascii="Times New Roman" w:hAnsi="Times New Roman" w:eastAsia="宋体" w:cs="Times New Roman"/>
      <w:b/>
      <w:bCs/>
      <w:kern w:val="44"/>
      <w:sz w:val="44"/>
      <w:szCs w:val="44"/>
    </w:rPr>
  </w:style>
  <w:style w:type="character" w:customStyle="1" w:styleId="28">
    <w:name w:val="标题 2 Char"/>
    <w:basedOn w:val="14"/>
    <w:link w:val="3"/>
    <w:qFormat/>
    <w:uiPriority w:val="9"/>
    <w:rPr>
      <w:rFonts w:asciiTheme="majorHAnsi" w:hAnsiTheme="majorHAnsi" w:eastAsiaTheme="majorEastAsia" w:cstheme="majorBidi"/>
      <w:b/>
      <w:bCs/>
      <w:sz w:val="32"/>
      <w:szCs w:val="32"/>
    </w:rPr>
  </w:style>
  <w:style w:type="character" w:customStyle="1" w:styleId="29">
    <w:name w:val="标题 3 Char"/>
    <w:basedOn w:val="14"/>
    <w:link w:val="4"/>
    <w:qFormat/>
    <w:uiPriority w:val="9"/>
    <w:rPr>
      <w:rFonts w:ascii="Times New Roman" w:hAnsi="Times New Roman" w:eastAsia="宋体" w:cs="Times New Roman"/>
      <w:b/>
      <w:bCs/>
      <w:sz w:val="32"/>
      <w:szCs w:val="32"/>
    </w:rPr>
  </w:style>
  <w:style w:type="character" w:customStyle="1" w:styleId="30">
    <w:name w:val="标题 4 Char"/>
    <w:basedOn w:val="14"/>
    <w:link w:val="5"/>
    <w:qFormat/>
    <w:uiPriority w:val="9"/>
    <w:rPr>
      <w:rFonts w:asciiTheme="majorHAnsi" w:hAnsiTheme="majorHAnsi" w:eastAsiaTheme="majorEastAsia" w:cstheme="majorBidi"/>
      <w:b/>
      <w:bCs/>
      <w:sz w:val="28"/>
      <w:szCs w:val="28"/>
    </w:rPr>
  </w:style>
  <w:style w:type="character" w:customStyle="1" w:styleId="31">
    <w:name w:val="日期 Char"/>
    <w:basedOn w:val="14"/>
    <w:link w:val="6"/>
    <w:semiHidden/>
    <w:qFormat/>
    <w:uiPriority w:val="99"/>
    <w:rPr>
      <w:rFonts w:ascii="Times New Roman" w:hAnsi="Times New Roman" w:eastAsia="宋体" w:cs="Times New Roman"/>
      <w:szCs w:val="24"/>
    </w:rPr>
  </w:style>
  <w:style w:type="paragraph" w:styleId="32">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hart" Target="charts/chart4.xml"/><Relationship Id="rId8" Type="http://schemas.openxmlformats.org/officeDocument/2006/relationships/chart" Target="charts/chart3.xml"/><Relationship Id="rId7" Type="http://schemas.openxmlformats.org/officeDocument/2006/relationships/chart" Target="charts/chart2.xml"/><Relationship Id="rId6" Type="http://schemas.openxmlformats.org/officeDocument/2006/relationships/chart" Target="charts/chart1.xml"/><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3.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chart" Target="charts/chart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3.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4.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5.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pieChart>
        <c:varyColors val="1"/>
        <c:ser>
          <c:idx val="0"/>
          <c:order val="0"/>
          <c:tx>
            <c:strRef>
              <c:f>Sheet1!$B$1</c:f>
              <c:strCache>
                <c:ptCount val="1"/>
                <c:pt idx="0">
                  <c:v>财政拨款收入情况</c:v>
                </c:pt>
              </c:strCache>
            </c:strRef>
          </c:tx>
          <c:spPr/>
          <c:explosion val="0"/>
          <c:dPt>
            <c:idx val="0"/>
            <c:bubble3D val="0"/>
            <c:spPr>
              <a:solidFill>
                <a:schemeClr val="accent1">
                  <a:tint val="100000"/>
                  <a:shade val="100000"/>
                  <a:hueMod val="100000"/>
                  <a:satMod val="100000"/>
                </a:schemeClr>
              </a:solidFill>
              <a:ln w="19050">
                <a:solidFill>
                  <a:schemeClr val="lt1"/>
                </a:solidFill>
              </a:ln>
              <a:effectLst/>
            </c:spPr>
          </c:dPt>
          <c:dLbls>
            <c:delete val="1"/>
          </c:dLbls>
          <c:cat>
            <c:strRef>
              <c:f>Sheet1!$A$2</c:f>
              <c:strCache>
                <c:ptCount val="1"/>
                <c:pt idx="0">
                  <c:v>财政拨款收入</c:v>
                </c:pt>
              </c:strCache>
            </c:strRef>
          </c:cat>
          <c:val>
            <c:numRef>
              <c:f>Sheet1!$B$2</c:f>
              <c:numCache>
                <c:formatCode>0%</c:formatCode>
                <c:ptCount val="1"/>
                <c:pt idx="0">
                  <c:v>1</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manualLayout>
          <c:layoutTarget val="inner"/>
          <c:xMode val="edge"/>
          <c:yMode val="edge"/>
          <c:x val="0.240597130670803"/>
          <c:y val="0.136660201022747"/>
          <c:w val="0.547499030632028"/>
          <c:h val="0.746958208428849"/>
        </c:manualLayout>
      </c:layout>
      <c:pieChart>
        <c:varyColors val="1"/>
        <c:ser>
          <c:idx val="0"/>
          <c:order val="0"/>
          <c:tx>
            <c:strRef>
              <c:f>Sheet1!$B$1</c:f>
              <c:strCache>
                <c:ptCount val="1"/>
                <c:pt idx="0">
                  <c:v>支出决算结构饼状图</c:v>
                </c:pt>
              </c:strCache>
            </c:strRef>
          </c:tx>
          <c:spPr/>
          <c:explosion val="0"/>
          <c:dPt>
            <c:idx val="0"/>
            <c:bubble3D val="0"/>
            <c:spPr>
              <a:solidFill>
                <a:schemeClr val="accent1">
                  <a:tint val="100000"/>
                  <a:shade val="100000"/>
                  <a:hueMod val="100000"/>
                  <a:satMod val="100000"/>
                </a:schemeClr>
              </a:solidFill>
              <a:ln w="19050">
                <a:solidFill>
                  <a:schemeClr val="lt1"/>
                </a:solidFill>
              </a:ln>
              <a:effectLst/>
            </c:spPr>
          </c:dPt>
          <c:dPt>
            <c:idx val="1"/>
            <c:bubble3D val="0"/>
            <c:spPr>
              <a:solidFill>
                <a:schemeClr val="accent2">
                  <a:tint val="100000"/>
                  <a:shade val="100000"/>
                  <a:hueMod val="100000"/>
                  <a:satMod val="100000"/>
                </a:schemeClr>
              </a:solidFill>
              <a:ln w="19050">
                <a:solidFill>
                  <a:schemeClr val="lt1"/>
                </a:solidFill>
              </a:ln>
              <a:effectLst/>
            </c:spPr>
          </c:dPt>
          <c:dLbls>
            <c:delete val="1"/>
          </c:dLbls>
          <c:cat>
            <c:strRef>
              <c:f>Sheet1!$A$2:$A$3</c:f>
              <c:strCache>
                <c:ptCount val="2"/>
                <c:pt idx="0">
                  <c:v>基本支出</c:v>
                </c:pt>
                <c:pt idx="1">
                  <c:v>项目支出</c:v>
                </c:pt>
              </c:strCache>
            </c:strRef>
          </c:cat>
          <c:val>
            <c:numRef>
              <c:f>Sheet1!$B$2:$B$3</c:f>
              <c:numCache>
                <c:formatCode>0.00%</c:formatCode>
                <c:ptCount val="2"/>
                <c:pt idx="0">
                  <c:v>0.7035</c:v>
                </c:pt>
                <c:pt idx="1">
                  <c:v>0.2965</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pieChart>
        <c:varyColors val="1"/>
        <c:ser>
          <c:idx val="0"/>
          <c:order val="0"/>
          <c:tx>
            <c:strRef>
              <c:f>Sheet1!$B$1</c:f>
              <c:strCache>
                <c:ptCount val="1"/>
                <c:pt idx="0">
                  <c:v>财政拨款收支情况</c:v>
                </c:pt>
              </c:strCache>
            </c:strRef>
          </c:tx>
          <c:spPr/>
          <c:explosion val="0"/>
          <c:dPt>
            <c:idx val="0"/>
            <c:bubble3D val="0"/>
            <c:explosion val="0"/>
            <c:spPr>
              <a:solidFill>
                <a:schemeClr val="accent1">
                  <a:tint val="100000"/>
                  <a:shade val="100000"/>
                  <a:hueMod val="100000"/>
                  <a:satMod val="100000"/>
                </a:schemeClr>
              </a:solidFill>
              <a:ln w="19050">
                <a:solidFill>
                  <a:schemeClr val="lt1"/>
                </a:solidFill>
              </a:ln>
              <a:effectLst/>
            </c:spPr>
          </c:dPt>
          <c:dPt>
            <c:idx val="1"/>
            <c:bubble3D val="0"/>
            <c:spPr>
              <a:solidFill>
                <a:schemeClr val="accent2">
                  <a:tint val="100000"/>
                  <a:shade val="100000"/>
                  <a:hueMod val="100000"/>
                  <a:satMod val="100000"/>
                </a:schemeClr>
              </a:solidFill>
              <a:ln w="19050">
                <a:solidFill>
                  <a:schemeClr val="lt1"/>
                </a:solidFill>
              </a:ln>
              <a:effectLst/>
            </c:spPr>
          </c:dPt>
          <c:dLbls>
            <c:delete val="1"/>
          </c:dLbls>
          <c:cat>
            <c:strRef>
              <c:f>Sheet1!$A$2:$A$3</c:f>
              <c:strCache>
                <c:ptCount val="2"/>
                <c:pt idx="0">
                  <c:v>财政拨款收入</c:v>
                </c:pt>
                <c:pt idx="1">
                  <c:v>财政拨款支出</c:v>
                </c:pt>
              </c:strCache>
            </c:strRef>
          </c:cat>
          <c:val>
            <c:numRef>
              <c:f>Sheet1!$B$2:$B$3</c:f>
              <c:numCache>
                <c:formatCode>General</c:formatCode>
                <c:ptCount val="2"/>
                <c:pt idx="0">
                  <c:v>957.55</c:v>
                </c:pt>
                <c:pt idx="1">
                  <c:v>994.5</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预算</c:v>
                </c:pt>
              </c:strCache>
            </c:strRef>
          </c:tx>
          <c:spPr>
            <a:solidFill>
              <a:schemeClr val="accent1">
                <a:tint val="100000"/>
                <a:shade val="100000"/>
                <a:hueMod val="100000"/>
                <a:satMod val="100000"/>
              </a:schemeClr>
            </a:solidFill>
            <a:ln>
              <a:noFill/>
            </a:ln>
            <a:effectLst/>
          </c:spPr>
          <c:invertIfNegative val="0"/>
          <c:dLbls>
            <c:delete val="1"/>
          </c:dLbls>
          <c:cat>
            <c:numRef>
              <c:f>Sheet1!$A$2:$A$5</c:f>
              <c:numCache>
                <c:formatCode>General</c:formatCode>
                <c:ptCount val="4"/>
              </c:numCache>
            </c:numRef>
          </c:cat>
          <c:val>
            <c:numRef>
              <c:f>Sheet1!$B$2:$B$5</c:f>
              <c:numCache>
                <c:formatCode>General</c:formatCode>
                <c:ptCount val="4"/>
                <c:pt idx="0">
                  <c:v>788.35</c:v>
                </c:pt>
                <c:pt idx="1">
                  <c:v>788.35</c:v>
                </c:pt>
              </c:numCache>
            </c:numRef>
          </c:val>
        </c:ser>
        <c:ser>
          <c:idx val="1"/>
          <c:order val="1"/>
          <c:tx>
            <c:strRef>
              <c:f>Sheet1!$C$1</c:f>
              <c:strCache>
                <c:ptCount val="1"/>
                <c:pt idx="0">
                  <c:v>决算</c:v>
                </c:pt>
              </c:strCache>
            </c:strRef>
          </c:tx>
          <c:spPr>
            <a:solidFill>
              <a:schemeClr val="accent2">
                <a:tint val="100000"/>
                <a:shade val="100000"/>
                <a:hueMod val="100000"/>
                <a:satMod val="100000"/>
              </a:schemeClr>
            </a:solidFill>
            <a:ln>
              <a:noFill/>
            </a:ln>
            <a:effectLst/>
          </c:spPr>
          <c:invertIfNegative val="0"/>
          <c:dLbls>
            <c:delete val="1"/>
          </c:dLbls>
          <c:cat>
            <c:numRef>
              <c:f>Sheet1!$A$2:$A$5</c:f>
              <c:numCache>
                <c:formatCode>General</c:formatCode>
                <c:ptCount val="4"/>
              </c:numCache>
            </c:numRef>
          </c:cat>
          <c:val>
            <c:numRef>
              <c:f>Sheet1!$C$2:$C$5</c:f>
              <c:numCache>
                <c:formatCode>General</c:formatCode>
                <c:ptCount val="4"/>
                <c:pt idx="0">
                  <c:v>957.55</c:v>
                </c:pt>
                <c:pt idx="1">
                  <c:v>885.8</c:v>
                </c:pt>
              </c:numCache>
            </c:numRef>
          </c:val>
        </c:ser>
        <c:dLbls>
          <c:showLegendKey val="0"/>
          <c:showVal val="0"/>
          <c:showCatName val="0"/>
          <c:showSerName val="0"/>
          <c:showPercent val="0"/>
          <c:showBubbleSize val="0"/>
        </c:dLbls>
        <c:gapWidth val="219"/>
        <c:overlap val="-27"/>
        <c:axId val="68281111"/>
        <c:axId val="731081244"/>
      </c:barChart>
      <c:catAx>
        <c:axId val="68281111"/>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31081244"/>
        <c:crosses val="autoZero"/>
        <c:auto val="1"/>
        <c:lblAlgn val="ctr"/>
        <c:lblOffset val="100"/>
        <c:noMultiLvlLbl val="0"/>
      </c:catAx>
      <c:valAx>
        <c:axId val="7310812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8281111"/>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pieChart>
        <c:varyColors val="1"/>
        <c:ser>
          <c:idx val="0"/>
          <c:order val="0"/>
          <c:tx>
            <c:strRef>
              <c:f>Sheet1!$B$1</c:f>
              <c:strCache>
                <c:ptCount val="1"/>
                <c:pt idx="0">
                  <c:v>财政拨款支出决算结构（按功能分类）</c:v>
                </c:pt>
              </c:strCache>
            </c:strRef>
          </c:tx>
          <c:spPr/>
          <c:explosion val="0"/>
          <c:dPt>
            <c:idx val="0"/>
            <c:bubble3D val="0"/>
            <c:spPr>
              <a:solidFill>
                <a:schemeClr val="accent1">
                  <a:tint val="100000"/>
                  <a:shade val="100000"/>
                  <a:hueMod val="100000"/>
                  <a:satMod val="100000"/>
                </a:schemeClr>
              </a:solidFill>
              <a:ln w="19050">
                <a:solidFill>
                  <a:schemeClr val="lt1"/>
                </a:solidFill>
              </a:ln>
              <a:effectLst/>
            </c:spPr>
          </c:dPt>
          <c:dPt>
            <c:idx val="1"/>
            <c:bubble3D val="0"/>
            <c:spPr>
              <a:solidFill>
                <a:schemeClr val="accent2">
                  <a:tint val="100000"/>
                  <a:shade val="100000"/>
                  <a:hueMod val="100000"/>
                  <a:satMod val="100000"/>
                </a:schemeClr>
              </a:solidFill>
              <a:ln w="19050">
                <a:solidFill>
                  <a:schemeClr val="lt1"/>
                </a:solidFill>
              </a:ln>
              <a:effectLst/>
            </c:spPr>
          </c:dPt>
          <c:dPt>
            <c:idx val="2"/>
            <c:bubble3D val="0"/>
            <c:spPr>
              <a:solidFill>
                <a:schemeClr val="accent3">
                  <a:tint val="100000"/>
                  <a:shade val="100000"/>
                  <a:hueMod val="100000"/>
                  <a:satMod val="100000"/>
                </a:schemeClr>
              </a:solidFill>
              <a:ln w="19050">
                <a:solidFill>
                  <a:schemeClr val="lt1"/>
                </a:solidFill>
              </a:ln>
              <a:effectLst/>
            </c:spPr>
          </c:dPt>
          <c:dPt>
            <c:idx val="3"/>
            <c:bubble3D val="0"/>
            <c:spPr>
              <a:solidFill>
                <a:schemeClr val="accent4">
                  <a:tint val="100000"/>
                  <a:shade val="100000"/>
                  <a:hueMod val="100000"/>
                  <a:satMod val="100000"/>
                </a:schemeClr>
              </a:solidFill>
              <a:ln w="19050">
                <a:solidFill>
                  <a:schemeClr val="lt1"/>
                </a:solidFill>
              </a:ln>
              <a:effectLst/>
            </c:spPr>
          </c:dPt>
          <c:dLbls>
            <c:delete val="1"/>
          </c:dLbls>
          <c:cat>
            <c:strRef>
              <c:f>Sheet1!$A$2:$A$5</c:f>
              <c:strCache>
                <c:ptCount val="4"/>
                <c:pt idx="0">
                  <c:v>一般公共服务支出</c:v>
                </c:pt>
                <c:pt idx="1">
                  <c:v>社会保障和就业（类）</c:v>
                </c:pt>
                <c:pt idx="2">
                  <c:v>医疗卫生与计划生育支出</c:v>
                </c:pt>
                <c:pt idx="3">
                  <c:v>住房保障支出</c:v>
                </c:pt>
              </c:strCache>
            </c:strRef>
          </c:cat>
          <c:val>
            <c:numRef>
              <c:f>Sheet1!$B$2:$B$5</c:f>
              <c:numCache>
                <c:formatCode>0.00%</c:formatCode>
                <c:ptCount val="4"/>
                <c:pt idx="0">
                  <c:v>0.8773</c:v>
                </c:pt>
                <c:pt idx="1">
                  <c:v>0.0627</c:v>
                </c:pt>
                <c:pt idx="2">
                  <c:v>0.0224</c:v>
                </c:pt>
                <c:pt idx="3">
                  <c:v>0.0376</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跋涉">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凤舞九天">
      <a:fillStyleLst>
        <a:solidFill>
          <a:schemeClr val="phClr">
            <a:tint val="100000"/>
            <a:shade val="100000"/>
            <a:hueMod val="100000"/>
            <a:satMod val="100000"/>
          </a:schemeClr>
        </a:solidFill>
        <a:gradFill rotWithShape="1">
          <a:gsLst>
            <a:gs pos="0">
              <a:schemeClr val="phClr">
                <a:tint val="65000"/>
                <a:satMod val="180000"/>
              </a:schemeClr>
            </a:gs>
            <a:gs pos="50000">
              <a:schemeClr val="phClr">
                <a:tint val="40000"/>
                <a:satMod val="175000"/>
              </a:schemeClr>
            </a:gs>
            <a:gs pos="100000">
              <a:schemeClr val="phClr">
                <a:tint val="65000"/>
                <a:satMod val="180000"/>
              </a:schemeClr>
            </a:gs>
          </a:gsLst>
          <a:lin ang="0" scaled="1"/>
        </a:gradFill>
        <a:gradFill rotWithShape="1">
          <a:gsLst>
            <a:gs pos="0">
              <a:schemeClr val="phClr">
                <a:shade val="38000"/>
                <a:satMod val="150000"/>
              </a:schemeClr>
            </a:gs>
            <a:gs pos="50000">
              <a:schemeClr val="phClr">
                <a:shade val="100000"/>
                <a:satMod val="100000"/>
              </a:schemeClr>
            </a:gs>
            <a:gs pos="100000">
              <a:schemeClr val="phClr">
                <a:shade val="38000"/>
                <a:satMod val="150000"/>
              </a:schemeClr>
            </a:gs>
          </a:gsLst>
          <a:lin ang="0" scaled="1"/>
        </a:gradFill>
      </a:fillStyleLst>
      <a:lnStyleLst>
        <a:ln w="12700" cap="flat" cmpd="sng" algn="ctr">
          <a:solidFill>
            <a:schemeClr val="phClr"/>
          </a:solidFill>
          <a:prstDash val="solid"/>
        </a:ln>
        <a:ln w="25400" cap="flat" cmpd="sng" algn="ctr">
          <a:solidFill>
            <a:schemeClr val="phClr"/>
          </a:solidFill>
          <a:prstDash val="solid"/>
        </a:ln>
        <a:ln w="38100" cap="flat" cmpd="dbl" algn="ctr">
          <a:solidFill>
            <a:schemeClr val="phClr"/>
          </a:solidFill>
          <a:prstDash val="solid"/>
        </a:ln>
      </a:lnStyleLst>
      <a:effectStyleLst>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s:customData>
</file>

<file path=customXml/item2.xml><?xml version="1.0" encoding="utf-8"?>
<CoverPageProperties xmlns="http://schemas.microsoft.com/office/2006/coverPageProps">
  <PublishDate>2017</PublishDate>
  <Abstract/>
  <CompanyAddress/>
  <CompanyPhone/>
  <CompanyFax/>
  <CompanyEmail/>
</CoverPage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AF091B-3C7A-41E3-B477-F2FDAA23CFDA}">
  <ds:schemaRefs/>
</ds:datastoreItem>
</file>

<file path=customXml/itemProps3.xml><?xml version="1.0" encoding="utf-8"?>
<ds:datastoreItem xmlns:ds="http://schemas.openxmlformats.org/officeDocument/2006/customXml" ds:itemID="{1D59DA58-3CA2-4856-9A51-CD581AE1A768}">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31</Pages>
  <Words>1657</Words>
  <Characters>9446</Characters>
  <Lines>78</Lines>
  <Paragraphs>22</Paragraphs>
  <TotalTime>6</TotalTime>
  <ScaleCrop>false</ScaleCrop>
  <LinksUpToDate>false</LinksUpToDate>
  <CharactersWithSpaces>11081</CharactersWithSpaces>
  <Application>WPS Office_11.1.0.10359_F1E327BC-269C-435d-A152-05C5408002CA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2019-09-26T01:09:00Z</dcterms:created>
  <dc:creator>User</dc:creator>
  <cp:lastModifiedBy>默瑶妈妈</cp:lastModifiedBy>
  <cp:lastPrinted>2019-11-20T06:08:00Z</cp:lastPrinted>
  <dcterms:modified xsi:type="dcterms:W3CDTF">2021-05-26T07:18:35Z</dcterms:modified>
  <dc:subject>石家庄市xxx部门</dc:subject>
  <dc:title>2017年度部门决算</dc:title>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2052-11.1.0.10359</vt:lpwstr>
  </property>
  <property fmtid="{D5CDD505-2E9C-101B-9397-08002B2CF9AE}" pid="3" name="ICV">
    <vt:lpwstr>4BED0AD048F54B6AA687DECC92A15E0D</vt:lpwstr>
  </property>
</Properties>
</file>